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80" w:lineRule="exact"/>
        <w:contextualSpacing/>
        <w:jc w:val="both"/>
        <w:outlineLvl w:val="1"/>
        <w:rPr>
          <w:rFonts w:eastAsia="仿宋_GB2312"/>
          <w:color w:val="333333"/>
          <w:sz w:val="32"/>
          <w:szCs w:val="32"/>
        </w:rPr>
      </w:pPr>
      <w:r>
        <w:rPr>
          <w:rFonts w:hint="eastAsia" w:eastAsia="仿宋_GB2312"/>
          <w:color w:val="333333"/>
          <w:sz w:val="32"/>
          <w:szCs w:val="32"/>
        </w:rPr>
        <w:t>附件</w:t>
      </w:r>
    </w:p>
    <w:p>
      <w:pPr>
        <w:contextualSpacing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contextualSpacing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网络和数据安全标准目录</w:t>
      </w:r>
    </w:p>
    <w:bookmarkEnd w:id="0"/>
    <w:p>
      <w:pPr>
        <w:contextualSpacing/>
        <w:rPr>
          <w:rFonts w:ascii="仿宋_GB2312" w:eastAsia="仿宋_GB2312"/>
          <w:sz w:val="32"/>
          <w:szCs w:val="32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267"/>
        <w:gridCol w:w="6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pct"/>
            <w:noWrap/>
            <w:vAlign w:val="center"/>
          </w:tcPr>
          <w:p>
            <w:pPr>
              <w:spacing w:line="259" w:lineRule="auto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227" w:type="pct"/>
            <w:noWrap/>
            <w:vAlign w:val="center"/>
          </w:tcPr>
          <w:p>
            <w:pPr>
              <w:spacing w:line="259" w:lineRule="auto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</w:rPr>
              <w:t>标准号</w:t>
            </w:r>
          </w:p>
        </w:tc>
        <w:tc>
          <w:tcPr>
            <w:tcW w:w="3347" w:type="pct"/>
            <w:noWrap/>
            <w:vAlign w:val="center"/>
          </w:tcPr>
          <w:p>
            <w:pPr>
              <w:spacing w:line="259" w:lineRule="auto"/>
              <w:contextualSpacing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1728-2008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电信网和互联网安全防护管理指南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1729-2008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电信网和互联网安全等级保护实施指南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1730-2008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电信网和互联网安全风险评估实施指南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3802-2020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电信网和互联网数据安全通用要求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3956-2021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电信网和互联网数据安全评估规范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3813-2020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基础电信企业数据分类分级方法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3867-2021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基础电信企业重要数据识别指南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电信领域重要数据风险评估指南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工业互联网平台企业安全防护规范（试行）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工业互联网标识解析企业安全防护规范（试行）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工业互联网企业数据安全防护规范（试行）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3865-2021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工业互联网数据安全保护要求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3752-2020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车联网信息服务平台安全防护技术要求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3751-2020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"https://hbba.sacinfo.org.cn/stdDetail/3d11cb523e29e574b6190366232d04f6d6d37de3f009f13ddc83a47bdc0fb805" \o "https://hbba.sacinfo.org.cn/stdDetail/3d11cb523e29e574b6190366232d04f6d6d37de3f009f13ddc83a47bdc0fb805"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车联网信息服务 数据安全技术要求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3750-2020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"https://hbba.sacinfo.org.cn/stdDetail/3d11cb523e29e574b6190366232d04f60877e404106d5b4fd6e22b2b8174aa3c" \o "https://hbba.sacinfo.org.cn/stdDetail/3d11cb523e29e574b6190366232d04f60877e404106d5b4fd6e22b2b8174aa3c"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车联网无线通信安全技术指南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3746-2020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车联网信息服务 用户个人信息保护要求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YD/T 3594-2019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基于LTE的车联网通信安全技术要求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2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TCCSA339-2021</w:t>
            </w:r>
          </w:p>
        </w:tc>
        <w:tc>
          <w:tcPr>
            <w:tcW w:w="3347" w:type="pct"/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车联网网络安全防护定级备案实施指南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3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工业互联网安全分类分级管理办法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59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3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259" w:lineRule="auto"/>
              <w:contextualSpacing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  <w:t>工业和信息化领域数据安全风险评估实施细则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80" w:lineRule="exact"/>
        <w:ind w:firstLine="480"/>
        <w:contextualSpacing/>
        <w:jc w:val="both"/>
        <w:rPr>
          <w:rFonts w:eastAsia="仿宋_GB2312"/>
          <w:color w:val="333333"/>
          <w:sz w:val="32"/>
          <w:szCs w:val="32"/>
          <w:lang w:val="en-GB"/>
        </w:rPr>
      </w:pPr>
    </w:p>
    <w:p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DD074E"/>
    <w:rsid w:val="C5D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</w:pPr>
    <w:rPr>
      <w:rFonts w:asciiTheme="minorHAnsi" w:hAnsiTheme="minorHAnsi" w:eastAsiaTheme="minorEastAsia" w:cstheme="minorBidi"/>
      <w:kern w:val="2"/>
      <w:sz w:val="22"/>
      <w:szCs w:val="22"/>
      <w:lang w:val="en-GB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2024-07-01T17:24:00Z</dcterms:created>
  <dc:creator>langchao</dc:creator>
  <cp:lastModifiedBy>langchao</cp:lastModifiedBy>
  <dcterms:modified xsi:type="dcterms:W3CDTF">2024-07-01T17:25:00Z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79F968A6CA6DE591D2758266DA12BA27_41</vt:lpwstr>
  </property>
</Properties>
</file>