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left"/>
        <w:rPr>
          <w:rFonts w:ascii="宋体" w:hAnsi="宋体" w:cs="宋体"/>
          <w:b/>
          <w:bCs/>
          <w:color w:val="auto"/>
          <w:sz w:val="44"/>
          <w:szCs w:val="44"/>
          <w:u w:val="none"/>
        </w:rPr>
      </w:pPr>
      <w:bookmarkStart w:id="0" w:name="_Toc3178"/>
      <w:r>
        <w:rPr>
          <w:rFonts w:hint="eastAsia" w:ascii="仿宋_GB2312" w:hAnsi="仿宋_GB2312" w:eastAsia="仿宋_GB2312" w:cs="仿宋_GB2312"/>
          <w:color w:val="auto"/>
          <w:sz w:val="32"/>
          <w:szCs w:val="32"/>
          <w:highlight w:val="none"/>
          <w:u w:val="none"/>
        </w:rPr>
        <w:t xml:space="preserve">落实国家 借鉴外地 </w:t>
      </w:r>
      <w:r>
        <w:rPr>
          <w:rFonts w:hint="eastAsia" w:ascii="仿宋_GB2312" w:hAnsi="仿宋_GB2312" w:eastAsia="仿宋_GB2312" w:cs="仿宋_GB2312"/>
          <w:color w:val="auto"/>
          <w:sz w:val="32"/>
          <w:szCs w:val="32"/>
          <w:u w:val="none"/>
        </w:rPr>
        <w:t>自主创新</w:t>
      </w:r>
    </w:p>
    <w:p>
      <w:pPr>
        <w:spacing w:line="360" w:lineRule="auto"/>
        <w:jc w:val="center"/>
        <w:outlineLvl w:val="0"/>
        <w:rPr>
          <w:rFonts w:ascii="华文中宋" w:hAnsi="华文中宋" w:eastAsia="华文中宋" w:cs="华文中宋"/>
          <w:b/>
          <w:bCs/>
          <w:color w:val="auto"/>
          <w:sz w:val="36"/>
          <w:szCs w:val="36"/>
          <w:u w:val="none"/>
        </w:rPr>
      </w:pPr>
      <w:bookmarkStart w:id="1" w:name="_Toc25559"/>
      <w:bookmarkStart w:id="2" w:name="_Toc29497"/>
      <w:bookmarkStart w:id="3" w:name="_Toc14468"/>
      <w:bookmarkStart w:id="4" w:name="_Toc196075080"/>
      <w:bookmarkStart w:id="5" w:name="_Toc16696"/>
      <w:bookmarkStart w:id="6" w:name="_Toc11370"/>
      <w:bookmarkStart w:id="7" w:name="_Toc1935363736"/>
      <w:bookmarkStart w:id="8" w:name="_Toc2395"/>
      <w:bookmarkStart w:id="9" w:name="_Toc5222"/>
      <w:r>
        <w:rPr>
          <w:rFonts w:hint="eastAsia" w:ascii="华文中宋" w:hAnsi="华文中宋" w:eastAsia="华文中宋" w:cs="华文中宋"/>
          <w:b/>
          <w:bCs/>
          <w:color w:val="auto"/>
          <w:sz w:val="36"/>
          <w:szCs w:val="36"/>
          <w:u w:val="none"/>
        </w:rPr>
        <w:t>厦门市对标最优主动创新</w:t>
      </w:r>
      <w:bookmarkEnd w:id="0"/>
      <w:bookmarkEnd w:id="1"/>
      <w:bookmarkEnd w:id="2"/>
      <w:bookmarkEnd w:id="3"/>
      <w:bookmarkEnd w:id="4"/>
      <w:bookmarkEnd w:id="5"/>
      <w:bookmarkEnd w:id="6"/>
      <w:bookmarkEnd w:id="7"/>
      <w:bookmarkEnd w:id="8"/>
      <w:bookmarkEnd w:id="9"/>
      <w:bookmarkStart w:id="10" w:name="_Toc2864"/>
      <w:bookmarkStart w:id="11" w:name="_Toc14772"/>
      <w:bookmarkStart w:id="12" w:name="_Toc13333"/>
      <w:bookmarkStart w:id="13" w:name="_Toc1846"/>
      <w:bookmarkStart w:id="14" w:name="_Toc27029"/>
      <w:bookmarkStart w:id="15" w:name="_Toc4425"/>
      <w:bookmarkStart w:id="16" w:name="_Toc1450116414"/>
      <w:bookmarkStart w:id="17" w:name="_Toc2824"/>
      <w:bookmarkStart w:id="18" w:name="_Toc12906"/>
      <w:bookmarkStart w:id="19" w:name="_Toc1197926288"/>
      <w:r>
        <w:rPr>
          <w:rFonts w:hint="eastAsia" w:ascii="华文中宋" w:hAnsi="华文中宋" w:eastAsia="华文中宋" w:cs="华文中宋"/>
          <w:b/>
          <w:bCs/>
          <w:color w:val="auto"/>
          <w:sz w:val="36"/>
          <w:szCs w:val="36"/>
          <w:u w:val="none"/>
        </w:rPr>
        <w:t>再创营商环境新优势</w:t>
      </w:r>
    </w:p>
    <w:p>
      <w:pPr>
        <w:spacing w:line="360" w:lineRule="auto"/>
        <w:jc w:val="center"/>
        <w:outlineLvl w:val="0"/>
        <w:rPr>
          <w:color w:val="auto"/>
          <w:sz w:val="36"/>
          <w:szCs w:val="36"/>
          <w:u w:val="none"/>
        </w:rPr>
      </w:pPr>
      <w:r>
        <w:rPr>
          <w:rFonts w:hint="eastAsia" w:ascii="华文中宋" w:hAnsi="华文中宋" w:eastAsia="华文中宋" w:cs="华文中宋"/>
          <w:b/>
          <w:bCs/>
          <w:color w:val="auto"/>
          <w:sz w:val="36"/>
          <w:szCs w:val="36"/>
          <w:u w:val="none"/>
        </w:rPr>
        <w:t>行动方案</w:t>
      </w:r>
      <w:bookmarkEnd w:id="10"/>
      <w:r>
        <w:rPr>
          <w:rFonts w:hint="eastAsia" w:ascii="华文中宋" w:hAnsi="华文中宋" w:eastAsia="华文中宋" w:cs="华文中宋"/>
          <w:b/>
          <w:bCs/>
          <w:color w:val="auto"/>
          <w:sz w:val="36"/>
          <w:szCs w:val="36"/>
          <w:u w:val="none"/>
        </w:rPr>
        <w:t>（征求意见稿）</w:t>
      </w:r>
      <w:bookmarkEnd w:id="11"/>
      <w:bookmarkEnd w:id="12"/>
      <w:bookmarkEnd w:id="13"/>
      <w:bookmarkEnd w:id="14"/>
      <w:bookmarkEnd w:id="15"/>
      <w:bookmarkEnd w:id="16"/>
      <w:bookmarkEnd w:id="17"/>
      <w:bookmarkEnd w:id="18"/>
      <w:bookmarkEnd w:id="19"/>
    </w:p>
    <w:p>
      <w:pPr>
        <w:jc w:val="center"/>
        <w:rPr>
          <w:rFonts w:ascii="宋体" w:hAnsi="宋体" w:cs="宋体"/>
          <w:b/>
          <w:bCs/>
          <w:color w:val="auto"/>
          <w:sz w:val="36"/>
          <w:szCs w:val="36"/>
          <w:u w:val="none"/>
        </w:rPr>
      </w:pPr>
    </w:p>
    <w:p>
      <w:pPr>
        <w:jc w:val="center"/>
        <w:rPr>
          <w:rFonts w:ascii="仿宋_GB2312" w:hAnsi="仿宋_GB2312" w:eastAsia="仿宋_GB2312" w:cs="仿宋_GB2312"/>
          <w:color w:val="auto"/>
          <w:sz w:val="30"/>
          <w:szCs w:val="30"/>
          <w:u w:val="none"/>
        </w:rPr>
      </w:pPr>
      <w:r>
        <w:rPr>
          <w:rFonts w:hint="eastAsia" w:ascii="宋体" w:hAnsi="宋体" w:cs="宋体"/>
          <w:b/>
          <w:bCs/>
          <w:color w:val="auto"/>
          <w:sz w:val="36"/>
          <w:szCs w:val="36"/>
          <w:u w:val="none"/>
        </w:rPr>
        <w:t>目  录</w:t>
      </w:r>
      <w:r>
        <w:rPr>
          <w:rFonts w:hint="eastAsia" w:ascii="仿宋_GB2312" w:hAnsi="仿宋_GB2312" w:eastAsia="仿宋_GB2312" w:cs="仿宋_GB2312"/>
          <w:color w:val="auto"/>
          <w:sz w:val="28"/>
          <w:szCs w:val="28"/>
          <w:u w:val="none"/>
        </w:rPr>
        <w:fldChar w:fldCharType="begin"/>
      </w:r>
      <w:r>
        <w:rPr>
          <w:rFonts w:hint="eastAsia" w:ascii="仿宋_GB2312" w:hAnsi="仿宋_GB2312" w:eastAsia="仿宋_GB2312" w:cs="仿宋_GB2312"/>
          <w:color w:val="auto"/>
          <w:sz w:val="28"/>
          <w:szCs w:val="28"/>
          <w:u w:val="none"/>
        </w:rPr>
        <w:instrText xml:space="preserve">TOC \o "1-3" \h \u </w:instrText>
      </w:r>
      <w:r>
        <w:rPr>
          <w:rFonts w:hint="eastAsia" w:ascii="仿宋_GB2312" w:hAnsi="仿宋_GB2312" w:eastAsia="仿宋_GB2312" w:cs="仿宋_GB2312"/>
          <w:color w:val="auto"/>
          <w:sz w:val="28"/>
          <w:szCs w:val="28"/>
          <w:u w:val="none"/>
        </w:rPr>
        <w:fldChar w:fldCharType="separate"/>
      </w:r>
    </w:p>
    <w:p>
      <w:pPr>
        <w:pStyle w:val="9"/>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"_Toc2055447642" </w:instrText>
      </w:r>
      <w:r>
        <w:rPr>
          <w:color w:val="auto"/>
          <w:u w:val="none"/>
        </w:rPr>
        <w:fldChar w:fldCharType="separate"/>
      </w:r>
      <w:r>
        <w:rPr>
          <w:rFonts w:hint="eastAsia" w:ascii="仿宋_GB2312" w:hAnsi="仿宋_GB2312" w:eastAsia="仿宋_GB2312" w:cs="仿宋_GB2312"/>
          <w:color w:val="auto"/>
          <w:sz w:val="30"/>
          <w:szCs w:val="30"/>
          <w:u w:val="none"/>
        </w:rPr>
        <w:t>一、总体要求</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_Toc2055447642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3</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9"/>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"_Toc1658779242" </w:instrText>
      </w:r>
      <w:r>
        <w:rPr>
          <w:color w:val="auto"/>
          <w:u w:val="none"/>
        </w:rPr>
        <w:fldChar w:fldCharType="separate"/>
      </w:r>
      <w:r>
        <w:rPr>
          <w:rFonts w:hint="eastAsia" w:ascii="仿宋_GB2312" w:hAnsi="仿宋_GB2312" w:eastAsia="仿宋_GB2312" w:cs="仿宋_GB2312"/>
          <w:color w:val="auto"/>
          <w:sz w:val="30"/>
          <w:szCs w:val="30"/>
          <w:u w:val="none"/>
        </w:rPr>
        <w:t>二、推进重点领域改革创新，激发市场活力新优势</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_Toc1658779242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3</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"_Toc1992016986" </w:instrText>
      </w:r>
      <w:r>
        <w:rPr>
          <w:color w:val="auto"/>
          <w:u w:val="none"/>
        </w:rPr>
        <w:fldChar w:fldCharType="separate"/>
      </w:r>
      <w:r>
        <w:rPr>
          <w:rFonts w:hint="eastAsia" w:ascii="仿宋_GB2312" w:hAnsi="仿宋_GB2312" w:eastAsia="仿宋_GB2312" w:cs="仿宋_GB2312"/>
          <w:bCs/>
          <w:color w:val="auto"/>
          <w:sz w:val="30"/>
          <w:szCs w:val="30"/>
          <w:u w:val="none"/>
        </w:rPr>
        <w:t>（一）建设竞争有序的市场环境</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_Toc1992016986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3</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"_Toc797614610" </w:instrText>
      </w:r>
      <w:r>
        <w:rPr>
          <w:color w:val="auto"/>
          <w:u w:val="none"/>
        </w:rPr>
        <w:fldChar w:fldCharType="separate"/>
      </w:r>
      <w:r>
        <w:rPr>
          <w:rFonts w:hint="eastAsia" w:ascii="仿宋_GB2312" w:hAnsi="仿宋_GB2312" w:eastAsia="仿宋_GB2312" w:cs="仿宋_GB2312"/>
          <w:bCs/>
          <w:color w:val="auto"/>
          <w:sz w:val="30"/>
          <w:szCs w:val="30"/>
          <w:u w:val="none"/>
        </w:rPr>
        <w:t>1.优化市场准入退出</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_Toc797614610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3</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"_Toc737280265" </w:instrText>
      </w:r>
      <w:r>
        <w:rPr>
          <w:color w:val="auto"/>
          <w:u w:val="none"/>
        </w:rPr>
        <w:fldChar w:fldCharType="separate"/>
      </w:r>
      <w:r>
        <w:rPr>
          <w:rFonts w:hint="eastAsia" w:ascii="仿宋_GB2312" w:hAnsi="仿宋_GB2312" w:eastAsia="仿宋_GB2312" w:cs="仿宋_GB2312"/>
          <w:bCs/>
          <w:color w:val="auto"/>
          <w:sz w:val="30"/>
          <w:szCs w:val="30"/>
          <w:u w:val="none"/>
        </w:rPr>
        <w:t>2.促进市场公平竞争</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_Toc737280265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4</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"_Toc2023645218" </w:instrText>
      </w:r>
      <w:r>
        <w:rPr>
          <w:color w:val="auto"/>
          <w:u w:val="none"/>
        </w:rPr>
        <w:fldChar w:fldCharType="separate"/>
      </w:r>
      <w:r>
        <w:rPr>
          <w:rFonts w:hint="eastAsia" w:ascii="仿宋_GB2312" w:hAnsi="仿宋_GB2312" w:eastAsia="仿宋_GB2312" w:cs="仿宋_GB2312"/>
          <w:bCs/>
          <w:color w:val="auto"/>
          <w:sz w:val="30"/>
          <w:szCs w:val="30"/>
          <w:u w:val="none"/>
        </w:rPr>
        <w:t>3.加强融资支持服务</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_Toc2023645218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4</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"_Toc1271743051" </w:instrText>
      </w:r>
      <w:r>
        <w:rPr>
          <w:color w:val="auto"/>
          <w:u w:val="none"/>
        </w:rPr>
        <w:fldChar w:fldCharType="separate"/>
      </w:r>
      <w:r>
        <w:rPr>
          <w:rFonts w:hint="eastAsia" w:ascii="仿宋_GB2312" w:hAnsi="仿宋_GB2312" w:eastAsia="仿宋_GB2312" w:cs="仿宋_GB2312"/>
          <w:bCs/>
          <w:color w:val="auto"/>
          <w:sz w:val="30"/>
          <w:szCs w:val="30"/>
          <w:u w:val="none"/>
        </w:rPr>
        <w:t>4.规范涉企收费</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_Toc1271743051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5</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"_Toc2127648083" </w:instrText>
      </w:r>
      <w:r>
        <w:rPr>
          <w:color w:val="auto"/>
          <w:u w:val="none"/>
        </w:rPr>
        <w:fldChar w:fldCharType="separate"/>
      </w:r>
      <w:r>
        <w:rPr>
          <w:rFonts w:hint="eastAsia" w:ascii="仿宋_GB2312" w:hAnsi="仿宋_GB2312" w:eastAsia="仿宋_GB2312" w:cs="仿宋_GB2312"/>
          <w:bCs/>
          <w:color w:val="auto"/>
          <w:sz w:val="30"/>
          <w:szCs w:val="30"/>
          <w:u w:val="none"/>
        </w:rPr>
        <w:t>5.强化市场监管水平</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_Toc2127648083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6</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"_Toc1005760273" </w:instrText>
      </w:r>
      <w:r>
        <w:rPr>
          <w:color w:val="auto"/>
          <w:u w:val="none"/>
        </w:rPr>
        <w:fldChar w:fldCharType="separate"/>
      </w:r>
      <w:r>
        <w:rPr>
          <w:rFonts w:hint="eastAsia" w:ascii="仿宋_GB2312" w:hAnsi="仿宋_GB2312" w:eastAsia="仿宋_GB2312" w:cs="仿宋_GB2312"/>
          <w:bCs/>
          <w:color w:val="auto"/>
          <w:sz w:val="30"/>
          <w:szCs w:val="30"/>
          <w:u w:val="none"/>
        </w:rPr>
        <w:t>（二）营造公平公正的法治环境</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_Toc1005760273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7</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"_Toc1159428949" </w:instrText>
      </w:r>
      <w:r>
        <w:rPr>
          <w:color w:val="auto"/>
          <w:u w:val="none"/>
        </w:rPr>
        <w:fldChar w:fldCharType="separate"/>
      </w:r>
      <w:r>
        <w:rPr>
          <w:rFonts w:hint="eastAsia" w:ascii="仿宋_GB2312" w:hAnsi="仿宋_GB2312" w:eastAsia="仿宋_GB2312" w:cs="仿宋_GB2312"/>
          <w:bCs/>
          <w:color w:val="auto"/>
          <w:sz w:val="30"/>
          <w:szCs w:val="30"/>
          <w:u w:val="none"/>
        </w:rPr>
        <w:t>1.高效解决商业纠纷</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_Toc1159428949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7</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"_Toc1397282386" </w:instrText>
      </w:r>
      <w:r>
        <w:rPr>
          <w:color w:val="auto"/>
          <w:u w:val="none"/>
        </w:rPr>
        <w:fldChar w:fldCharType="separate"/>
      </w:r>
      <w:r>
        <w:rPr>
          <w:rFonts w:hint="eastAsia" w:ascii="仿宋_GB2312" w:hAnsi="仿宋_GB2312" w:eastAsia="仿宋_GB2312" w:cs="仿宋_GB2312"/>
          <w:bCs/>
          <w:color w:val="auto"/>
          <w:sz w:val="30"/>
          <w:szCs w:val="30"/>
          <w:u w:val="none"/>
        </w:rPr>
        <w:t>2.促进知识产权保护与运用</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_Toc1397282386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7</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"_Toc866405815" </w:instrText>
      </w:r>
      <w:r>
        <w:rPr>
          <w:color w:val="auto"/>
          <w:u w:val="none"/>
        </w:rPr>
        <w:fldChar w:fldCharType="separate"/>
      </w:r>
      <w:r>
        <w:rPr>
          <w:rFonts w:hint="eastAsia" w:ascii="仿宋_GB2312" w:hAnsi="仿宋_GB2312" w:eastAsia="仿宋_GB2312" w:cs="仿宋_GB2312"/>
          <w:bCs/>
          <w:color w:val="auto"/>
          <w:sz w:val="30"/>
          <w:szCs w:val="30"/>
          <w:u w:val="none"/>
        </w:rPr>
        <w:t>3.提升司法与行政执法水平</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_Toc866405815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8</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"_Toc1047402977" </w:instrText>
      </w:r>
      <w:r>
        <w:rPr>
          <w:color w:val="auto"/>
          <w:u w:val="none"/>
        </w:rPr>
        <w:fldChar w:fldCharType="separate"/>
      </w:r>
      <w:r>
        <w:rPr>
          <w:rFonts w:hint="eastAsia" w:ascii="仿宋_GB2312" w:hAnsi="仿宋_GB2312" w:eastAsia="仿宋_GB2312" w:cs="仿宋_GB2312"/>
          <w:bCs/>
          <w:color w:val="auto"/>
          <w:sz w:val="30"/>
          <w:szCs w:val="30"/>
          <w:u w:val="none"/>
        </w:rPr>
        <w:t>4.优化办理破产</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_Toc1047402977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8</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"_Toc1363912449" </w:instrText>
      </w:r>
      <w:r>
        <w:rPr>
          <w:color w:val="auto"/>
          <w:u w:val="none"/>
        </w:rPr>
        <w:fldChar w:fldCharType="separate"/>
      </w:r>
      <w:r>
        <w:rPr>
          <w:rFonts w:hint="eastAsia" w:ascii="仿宋_GB2312" w:hAnsi="仿宋_GB2312" w:eastAsia="仿宋_GB2312" w:cs="仿宋_GB2312"/>
          <w:bCs/>
          <w:color w:val="auto"/>
          <w:sz w:val="30"/>
          <w:szCs w:val="30"/>
          <w:u w:val="none"/>
        </w:rPr>
        <w:t>（三）构建高效便捷的政务环境</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_Toc1363912449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9</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"_Toc1210455044" </w:instrText>
      </w:r>
      <w:r>
        <w:rPr>
          <w:color w:val="auto"/>
          <w:u w:val="none"/>
        </w:rPr>
        <w:fldChar w:fldCharType="separate"/>
      </w:r>
      <w:r>
        <w:rPr>
          <w:rFonts w:hint="eastAsia" w:ascii="仿宋_GB2312" w:hAnsi="仿宋_GB2312" w:eastAsia="仿宋_GB2312" w:cs="仿宋_GB2312"/>
          <w:bCs/>
          <w:color w:val="auto"/>
          <w:sz w:val="30"/>
          <w:szCs w:val="30"/>
          <w:u w:val="none"/>
        </w:rPr>
        <w:t>1.优化政务服务水平</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_Toc1210455044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9</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"_Toc2013003824" </w:instrText>
      </w:r>
      <w:r>
        <w:rPr>
          <w:color w:val="auto"/>
          <w:u w:val="none"/>
        </w:rPr>
        <w:fldChar w:fldCharType="separate"/>
      </w:r>
      <w:r>
        <w:rPr>
          <w:rFonts w:hint="eastAsia" w:ascii="仿宋_GB2312" w:hAnsi="仿宋_GB2312" w:eastAsia="仿宋_GB2312" w:cs="仿宋_GB2312"/>
          <w:bCs/>
          <w:color w:val="auto"/>
          <w:sz w:val="30"/>
          <w:szCs w:val="30"/>
          <w:u w:val="none"/>
        </w:rPr>
        <w:t>2.提升获取经营场所便利度</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_Toc2013003824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10</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"_Toc1185004154" </w:instrText>
      </w:r>
      <w:r>
        <w:rPr>
          <w:color w:val="auto"/>
          <w:u w:val="none"/>
        </w:rPr>
        <w:fldChar w:fldCharType="separate"/>
      </w:r>
      <w:r>
        <w:rPr>
          <w:rFonts w:hint="eastAsia" w:ascii="仿宋_GB2312" w:hAnsi="仿宋_GB2312" w:eastAsia="仿宋_GB2312" w:cs="仿宋_GB2312"/>
          <w:bCs/>
          <w:color w:val="auto"/>
          <w:sz w:val="30"/>
          <w:szCs w:val="30"/>
          <w:u w:val="none"/>
        </w:rPr>
        <w:t>3.完善市政公用设施报装</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_Toc1185004154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10</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9"/>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"_Toc1827562638" </w:instrText>
      </w:r>
      <w:r>
        <w:rPr>
          <w:color w:val="auto"/>
          <w:u w:val="none"/>
        </w:rPr>
        <w:fldChar w:fldCharType="separate"/>
      </w:r>
      <w:r>
        <w:rPr>
          <w:rFonts w:hint="eastAsia" w:ascii="仿宋_GB2312" w:hAnsi="仿宋_GB2312" w:eastAsia="仿宋_GB2312" w:cs="仿宋_GB2312"/>
          <w:color w:val="auto"/>
          <w:sz w:val="30"/>
          <w:szCs w:val="30"/>
          <w:u w:val="none"/>
        </w:rPr>
        <w:t>三、畅通国际国内双循环，打造特区开放新优势</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_Toc1827562638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11</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"_Toc1114003290" </w:instrText>
      </w:r>
      <w:r>
        <w:rPr>
          <w:color w:val="auto"/>
          <w:u w:val="none"/>
        </w:rPr>
        <w:fldChar w:fldCharType="separate"/>
      </w:r>
      <w:r>
        <w:rPr>
          <w:rFonts w:hint="eastAsia" w:ascii="仿宋_GB2312" w:hAnsi="仿宋_GB2312" w:eastAsia="仿宋_GB2312" w:cs="仿宋_GB2312"/>
          <w:bCs/>
          <w:color w:val="auto"/>
          <w:sz w:val="30"/>
          <w:szCs w:val="30"/>
          <w:u w:val="none"/>
        </w:rPr>
        <w:t>（一）巩固提升外循环层级</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_Toc1114003290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11</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"_Toc1721849427" </w:instrText>
      </w:r>
      <w:r>
        <w:rPr>
          <w:color w:val="auto"/>
          <w:u w:val="none"/>
        </w:rPr>
        <w:fldChar w:fldCharType="separate"/>
      </w:r>
      <w:r>
        <w:rPr>
          <w:rFonts w:hint="eastAsia" w:ascii="仿宋_GB2312" w:hAnsi="仿宋_GB2312" w:eastAsia="仿宋_GB2312" w:cs="仿宋_GB2312"/>
          <w:bCs/>
          <w:color w:val="auto"/>
          <w:sz w:val="30"/>
          <w:szCs w:val="30"/>
          <w:u w:val="none"/>
        </w:rPr>
        <w:t>1.打造制度型开放范本</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_Toc1721849427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11</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"_Toc1184638762" </w:instrText>
      </w:r>
      <w:r>
        <w:rPr>
          <w:color w:val="auto"/>
          <w:u w:val="none"/>
        </w:rPr>
        <w:fldChar w:fldCharType="separate"/>
      </w:r>
      <w:r>
        <w:rPr>
          <w:rFonts w:hint="eastAsia" w:ascii="仿宋_GB2312" w:hAnsi="仿宋_GB2312" w:eastAsia="仿宋_GB2312" w:cs="仿宋_GB2312"/>
          <w:bCs/>
          <w:color w:val="auto"/>
          <w:sz w:val="30"/>
          <w:szCs w:val="30"/>
          <w:u w:val="none"/>
        </w:rPr>
        <w:t>2.建设国际一流口岸设施</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_Toc1184638762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11</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"_Toc1815869570" </w:instrText>
      </w:r>
      <w:r>
        <w:rPr>
          <w:color w:val="auto"/>
          <w:u w:val="none"/>
        </w:rPr>
        <w:fldChar w:fldCharType="separate"/>
      </w:r>
      <w:r>
        <w:rPr>
          <w:rFonts w:hint="eastAsia" w:ascii="仿宋_GB2312" w:hAnsi="仿宋_GB2312" w:eastAsia="仿宋_GB2312" w:cs="仿宋_GB2312"/>
          <w:bCs/>
          <w:color w:val="auto"/>
          <w:sz w:val="30"/>
          <w:szCs w:val="30"/>
          <w:u w:val="none"/>
        </w:rPr>
        <w:t>3.加强国际贸易模式创新</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_Toc1815869570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12</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"_Toc1364557861" </w:instrText>
      </w:r>
      <w:r>
        <w:rPr>
          <w:color w:val="auto"/>
          <w:u w:val="none"/>
        </w:rPr>
        <w:fldChar w:fldCharType="separate"/>
      </w:r>
      <w:r>
        <w:rPr>
          <w:rFonts w:hint="eastAsia" w:ascii="仿宋_GB2312" w:hAnsi="仿宋_GB2312" w:eastAsia="仿宋_GB2312" w:cs="仿宋_GB2312"/>
          <w:bCs/>
          <w:color w:val="auto"/>
          <w:sz w:val="30"/>
          <w:szCs w:val="30"/>
          <w:u w:val="none"/>
        </w:rPr>
        <w:t>（二）不断增强内循环动力</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_Toc1364557861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13</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"_Toc1139839621" </w:instrText>
      </w:r>
      <w:r>
        <w:rPr>
          <w:color w:val="auto"/>
          <w:u w:val="none"/>
        </w:rPr>
        <w:fldChar w:fldCharType="separate"/>
      </w:r>
      <w:r>
        <w:rPr>
          <w:rFonts w:hint="eastAsia" w:ascii="仿宋_GB2312" w:hAnsi="仿宋_GB2312" w:eastAsia="仿宋_GB2312" w:cs="仿宋_GB2312"/>
          <w:bCs/>
          <w:color w:val="auto"/>
          <w:sz w:val="30"/>
          <w:szCs w:val="30"/>
          <w:u w:val="none"/>
        </w:rPr>
        <w:t>1.加强供应链创新与应用</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_Toc1139839621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13</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"_Toc1109205295" </w:instrText>
      </w:r>
      <w:r>
        <w:rPr>
          <w:color w:val="auto"/>
          <w:u w:val="none"/>
        </w:rPr>
        <w:fldChar w:fldCharType="separate"/>
      </w:r>
      <w:r>
        <w:rPr>
          <w:rFonts w:hint="eastAsia" w:ascii="仿宋_GB2312" w:hAnsi="仿宋_GB2312" w:eastAsia="仿宋_GB2312" w:cs="仿宋_GB2312"/>
          <w:bCs/>
          <w:color w:val="auto"/>
          <w:sz w:val="30"/>
          <w:szCs w:val="30"/>
          <w:u w:val="none"/>
        </w:rPr>
        <w:t>2.提升特色专业服务能级</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_Toc1109205295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13</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"_Toc742270145" </w:instrText>
      </w:r>
      <w:r>
        <w:rPr>
          <w:color w:val="auto"/>
          <w:u w:val="none"/>
        </w:rPr>
        <w:fldChar w:fldCharType="separate"/>
      </w:r>
      <w:r>
        <w:rPr>
          <w:rFonts w:hint="eastAsia" w:ascii="仿宋_GB2312" w:hAnsi="仿宋_GB2312" w:eastAsia="仿宋_GB2312" w:cs="仿宋_GB2312"/>
          <w:bCs/>
          <w:color w:val="auto"/>
          <w:sz w:val="30"/>
          <w:szCs w:val="30"/>
          <w:u w:val="none"/>
        </w:rPr>
        <w:t>3.优化消费营商环境</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_Toc742270145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14</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"_Toc113012518" </w:instrText>
      </w:r>
      <w:r>
        <w:rPr>
          <w:color w:val="auto"/>
          <w:u w:val="none"/>
        </w:rPr>
        <w:fldChar w:fldCharType="separate"/>
      </w:r>
      <w:r>
        <w:rPr>
          <w:rFonts w:hint="eastAsia" w:ascii="仿宋_GB2312" w:hAnsi="仿宋_GB2312" w:eastAsia="仿宋_GB2312" w:cs="仿宋_GB2312"/>
          <w:bCs/>
          <w:color w:val="auto"/>
          <w:sz w:val="30"/>
          <w:szCs w:val="30"/>
          <w:u w:val="none"/>
        </w:rPr>
        <w:t>（三）推动双循环联通促进</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_Toc113012518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14</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"_Toc445915150" </w:instrText>
      </w:r>
      <w:r>
        <w:rPr>
          <w:color w:val="auto"/>
          <w:u w:val="none"/>
        </w:rPr>
        <w:fldChar w:fldCharType="separate"/>
      </w:r>
      <w:r>
        <w:rPr>
          <w:rFonts w:hint="eastAsia" w:ascii="仿宋_GB2312" w:hAnsi="仿宋_GB2312" w:eastAsia="仿宋_GB2312" w:cs="仿宋_GB2312"/>
          <w:bCs/>
          <w:color w:val="auto"/>
          <w:sz w:val="30"/>
          <w:szCs w:val="30"/>
          <w:u w:val="none"/>
        </w:rPr>
        <w:t>1.优化内外贸一体化体制机制</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_Toc445915150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14</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4"/>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"_Toc938345225" </w:instrText>
      </w:r>
      <w:r>
        <w:rPr>
          <w:color w:val="auto"/>
          <w:u w:val="none"/>
        </w:rPr>
        <w:fldChar w:fldCharType="separate"/>
      </w:r>
      <w:r>
        <w:rPr>
          <w:rFonts w:hint="eastAsia" w:ascii="仿宋_GB2312" w:hAnsi="仿宋_GB2312" w:eastAsia="仿宋_GB2312" w:cs="仿宋_GB2312"/>
          <w:bCs/>
          <w:color w:val="auto"/>
          <w:sz w:val="30"/>
          <w:szCs w:val="30"/>
          <w:u w:val="none"/>
        </w:rPr>
        <w:t>2.提升国际国内两种资源配置能力</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_Toc938345225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15</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9"/>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"_Toc1563128932" </w:instrText>
      </w:r>
      <w:r>
        <w:rPr>
          <w:color w:val="auto"/>
          <w:u w:val="none"/>
        </w:rPr>
        <w:fldChar w:fldCharType="separate"/>
      </w:r>
      <w:r>
        <w:rPr>
          <w:rFonts w:hint="eastAsia" w:ascii="仿宋_GB2312" w:hAnsi="仿宋_GB2312" w:eastAsia="仿宋_GB2312" w:cs="仿宋_GB2312"/>
          <w:color w:val="auto"/>
          <w:sz w:val="30"/>
          <w:szCs w:val="30"/>
          <w:u w:val="none"/>
        </w:rPr>
        <w:t>四、强化区域先行先试，构建全域创新新优势</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_Toc1563128932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16</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"_Toc353879144" </w:instrText>
      </w:r>
      <w:r>
        <w:rPr>
          <w:color w:val="auto"/>
          <w:u w:val="none"/>
        </w:rPr>
        <w:fldChar w:fldCharType="separate"/>
      </w:r>
      <w:r>
        <w:rPr>
          <w:rFonts w:hint="eastAsia" w:ascii="仿宋_GB2312" w:hAnsi="仿宋_GB2312" w:eastAsia="仿宋_GB2312" w:cs="仿宋_GB2312"/>
          <w:bCs/>
          <w:color w:val="auto"/>
          <w:sz w:val="30"/>
          <w:szCs w:val="30"/>
          <w:u w:val="none"/>
        </w:rPr>
        <w:t>（一）自贸试验区打造开放创新高地</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_Toc353879144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16</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"_Toc449640820" </w:instrText>
      </w:r>
      <w:r>
        <w:rPr>
          <w:color w:val="auto"/>
          <w:u w:val="none"/>
        </w:rPr>
        <w:fldChar w:fldCharType="separate"/>
      </w:r>
      <w:r>
        <w:rPr>
          <w:rFonts w:hint="eastAsia" w:ascii="仿宋_GB2312" w:hAnsi="仿宋_GB2312" w:eastAsia="仿宋_GB2312" w:cs="仿宋_GB2312"/>
          <w:bCs/>
          <w:color w:val="auto"/>
          <w:sz w:val="30"/>
          <w:szCs w:val="30"/>
          <w:u w:val="none"/>
        </w:rPr>
        <w:t>（二）火炬高新区打造科技创新高地</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_Toc449640820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17</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"_Toc1407662270" </w:instrText>
      </w:r>
      <w:r>
        <w:rPr>
          <w:color w:val="auto"/>
          <w:u w:val="none"/>
        </w:rPr>
        <w:fldChar w:fldCharType="separate"/>
      </w:r>
      <w:r>
        <w:rPr>
          <w:rFonts w:hint="eastAsia" w:ascii="仿宋_GB2312" w:hAnsi="仿宋_GB2312" w:eastAsia="仿宋_GB2312" w:cs="仿宋_GB2312"/>
          <w:bCs/>
          <w:color w:val="auto"/>
          <w:sz w:val="30"/>
          <w:szCs w:val="30"/>
          <w:u w:val="none"/>
        </w:rPr>
        <w:t>（三）辖内六区打造各具特色营商环境</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_Toc1407662270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17</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9"/>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"_Toc1151493754" </w:instrText>
      </w:r>
      <w:r>
        <w:rPr>
          <w:color w:val="auto"/>
          <w:u w:val="none"/>
        </w:rPr>
        <w:fldChar w:fldCharType="separate"/>
      </w:r>
      <w:r>
        <w:rPr>
          <w:rFonts w:hint="eastAsia" w:ascii="仿宋_GB2312" w:hAnsi="仿宋_GB2312" w:eastAsia="仿宋_GB2312" w:cs="仿宋_GB2312"/>
          <w:color w:val="auto"/>
          <w:sz w:val="30"/>
          <w:szCs w:val="30"/>
          <w:u w:val="none"/>
        </w:rPr>
        <w:t>五、完善推进机制，确保任务落地落实</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_Toc1151493754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18</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"_Toc1186921085" </w:instrText>
      </w:r>
      <w:r>
        <w:rPr>
          <w:color w:val="auto"/>
          <w:u w:val="none"/>
        </w:rPr>
        <w:fldChar w:fldCharType="separate"/>
      </w:r>
      <w:r>
        <w:rPr>
          <w:rFonts w:hint="eastAsia" w:ascii="仿宋_GB2312" w:hAnsi="仿宋_GB2312" w:eastAsia="仿宋_GB2312" w:cs="仿宋_GB2312"/>
          <w:bCs/>
          <w:color w:val="auto"/>
          <w:sz w:val="30"/>
          <w:szCs w:val="30"/>
          <w:u w:val="none"/>
        </w:rPr>
        <w:t>（一）强化营商环境全链条创新机制</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_Toc1186921085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18</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"_Toc1283823841" </w:instrText>
      </w:r>
      <w:r>
        <w:rPr>
          <w:color w:val="auto"/>
          <w:u w:val="none"/>
        </w:rPr>
        <w:fldChar w:fldCharType="separate"/>
      </w:r>
      <w:r>
        <w:rPr>
          <w:rFonts w:hint="eastAsia" w:ascii="仿宋_GB2312" w:hAnsi="仿宋_GB2312" w:eastAsia="仿宋_GB2312" w:cs="仿宋_GB2312"/>
          <w:bCs/>
          <w:color w:val="auto"/>
          <w:sz w:val="30"/>
          <w:szCs w:val="30"/>
          <w:u w:val="none"/>
        </w:rPr>
        <w:t>（二）建立营商环境指标双牵头机制</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_Toc1283823841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19</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rFonts w:ascii="仿宋_GB2312" w:hAnsi="仿宋_GB2312" w:eastAsia="仿宋_GB2312" w:cs="仿宋_GB2312"/>
          <w:color w:val="auto"/>
          <w:sz w:val="30"/>
          <w:szCs w:val="30"/>
          <w:u w:val="none"/>
        </w:rPr>
      </w:pPr>
      <w:r>
        <w:rPr>
          <w:color w:val="auto"/>
          <w:u w:val="none"/>
        </w:rPr>
        <w:fldChar w:fldCharType="begin"/>
      </w:r>
      <w:r>
        <w:rPr>
          <w:color w:val="auto"/>
          <w:u w:val="none"/>
        </w:rPr>
        <w:instrText xml:space="preserve"> HYPERLINK \l "_Toc275753157" </w:instrText>
      </w:r>
      <w:r>
        <w:rPr>
          <w:color w:val="auto"/>
          <w:u w:val="none"/>
        </w:rPr>
        <w:fldChar w:fldCharType="separate"/>
      </w:r>
      <w:r>
        <w:rPr>
          <w:rFonts w:hint="eastAsia" w:ascii="仿宋_GB2312" w:hAnsi="仿宋_GB2312" w:eastAsia="仿宋_GB2312" w:cs="仿宋_GB2312"/>
          <w:bCs/>
          <w:color w:val="auto"/>
          <w:sz w:val="30"/>
          <w:szCs w:val="30"/>
          <w:u w:val="none"/>
        </w:rPr>
        <w:t>（三）构建政策宣传和精准服务机制</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_Toc275753157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19</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11"/>
        <w:tabs>
          <w:tab w:val="right" w:leader="dot" w:pos="8306"/>
        </w:tabs>
        <w:rPr>
          <w:color w:val="auto"/>
          <w:u w:val="none"/>
        </w:rPr>
      </w:pPr>
      <w:r>
        <w:rPr>
          <w:color w:val="auto"/>
          <w:u w:val="none"/>
        </w:rPr>
        <w:fldChar w:fldCharType="begin"/>
      </w:r>
      <w:r>
        <w:rPr>
          <w:color w:val="auto"/>
          <w:u w:val="none"/>
        </w:rPr>
        <w:instrText xml:space="preserve"> HYPERLINK \l "_Toc970929387" </w:instrText>
      </w:r>
      <w:r>
        <w:rPr>
          <w:color w:val="auto"/>
          <w:u w:val="none"/>
        </w:rPr>
        <w:fldChar w:fldCharType="separate"/>
      </w:r>
      <w:r>
        <w:rPr>
          <w:rFonts w:hint="eastAsia" w:ascii="仿宋_GB2312" w:hAnsi="仿宋_GB2312" w:eastAsia="仿宋_GB2312" w:cs="仿宋_GB2312"/>
          <w:bCs/>
          <w:color w:val="auto"/>
          <w:sz w:val="30"/>
          <w:szCs w:val="30"/>
          <w:u w:val="none"/>
        </w:rPr>
        <w:t>（四）完善市场主体满意度动态监测机制</w:t>
      </w:r>
      <w:r>
        <w:rPr>
          <w:rFonts w:hint="eastAsia" w:ascii="仿宋_GB2312" w:hAnsi="仿宋_GB2312" w:eastAsia="仿宋_GB2312" w:cs="仿宋_GB2312"/>
          <w:color w:val="auto"/>
          <w:sz w:val="30"/>
          <w:szCs w:val="30"/>
          <w:u w:val="none"/>
        </w:rPr>
        <w:tab/>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PAGEREF _Toc970929387 </w:instrText>
      </w:r>
      <w:r>
        <w:rPr>
          <w:rFonts w:hint="eastAsia" w:ascii="仿宋_GB2312" w:hAnsi="仿宋_GB2312" w:eastAsia="仿宋_GB2312" w:cs="仿宋_GB2312"/>
          <w:color w:val="auto"/>
          <w:sz w:val="30"/>
          <w:szCs w:val="30"/>
          <w:u w:val="none"/>
        </w:rPr>
        <w:fldChar w:fldCharType="separate"/>
      </w:r>
      <w:r>
        <w:rPr>
          <w:rFonts w:hint="eastAsia" w:ascii="仿宋_GB2312" w:hAnsi="仿宋_GB2312" w:eastAsia="仿宋_GB2312" w:cs="仿宋_GB2312"/>
          <w:color w:val="auto"/>
          <w:sz w:val="30"/>
          <w:szCs w:val="30"/>
          <w:u w:val="none"/>
        </w:rPr>
        <w:t>19</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color w:val="auto"/>
          <w:sz w:val="30"/>
          <w:szCs w:val="30"/>
          <w:u w:val="none"/>
        </w:rPr>
        <w:fldChar w:fldCharType="end"/>
      </w:r>
    </w:p>
    <w:p>
      <w:pPr>
        <w:pStyle w:val="2"/>
        <w:spacing w:after="0" w:line="360" w:lineRule="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Cs w:val="28"/>
          <w:u w:val="none"/>
        </w:rPr>
        <w:fldChar w:fldCharType="end"/>
      </w:r>
    </w:p>
    <w:p>
      <w:pPr>
        <w:pStyle w:val="2"/>
        <w:spacing w:after="0" w:line="360" w:lineRule="auto"/>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为深入贯彻党中央、国务院关于打造一流营商环境决策部署，充分发挥厦门经济特区体制改革“试验田”、对外开放重要窗口和现代化建设排头兵作用，以敢闯敢试、敢为人先、埋头苦干的特区精神，</w:t>
      </w:r>
      <w:r>
        <w:rPr>
          <w:rFonts w:hint="eastAsia" w:ascii="仿宋_GB2312" w:hAnsi="仿宋_GB2312" w:eastAsia="仿宋_GB2312" w:cs="仿宋_GB2312"/>
          <w:color w:val="auto"/>
          <w:sz w:val="32"/>
          <w:szCs w:val="32"/>
          <w:u w:val="none"/>
          <w:lang w:eastAsia="zh-CN"/>
        </w:rPr>
        <w:t>着力营造让企业敢干、敢投的良好环境，</w:t>
      </w:r>
      <w:r>
        <w:rPr>
          <w:rFonts w:hint="eastAsia" w:ascii="仿宋_GB2312" w:hAnsi="仿宋_GB2312" w:eastAsia="仿宋_GB2312" w:cs="仿宋_GB2312"/>
          <w:color w:val="auto"/>
          <w:sz w:val="32"/>
          <w:szCs w:val="32"/>
          <w:u w:val="none"/>
        </w:rPr>
        <w:t>扎实推进营商环境改革创新，再创营商环境新优势，特制定本方案。</w:t>
      </w:r>
    </w:p>
    <w:p>
      <w:pPr>
        <w:spacing w:line="360" w:lineRule="auto"/>
        <w:ind w:firstLine="640" w:firstLineChars="200"/>
        <w:outlineLvl w:val="0"/>
        <w:rPr>
          <w:rFonts w:ascii="仿宋_GB2312" w:hAnsi="仿宋_GB2312" w:eastAsia="仿宋_GB2312" w:cs="仿宋_GB2312"/>
          <w:color w:val="auto"/>
          <w:sz w:val="32"/>
          <w:szCs w:val="32"/>
          <w:u w:val="none"/>
        </w:rPr>
      </w:pPr>
      <w:bookmarkStart w:id="20" w:name="_Toc29538"/>
      <w:bookmarkStart w:id="21" w:name="_Toc1695"/>
      <w:bookmarkStart w:id="22" w:name="_Toc2055447642"/>
      <w:bookmarkStart w:id="23" w:name="_Toc16061"/>
      <w:bookmarkStart w:id="24" w:name="_Toc10648"/>
      <w:bookmarkStart w:id="25" w:name="_Toc2626"/>
      <w:bookmarkStart w:id="26" w:name="_Toc17572"/>
      <w:bookmarkStart w:id="27" w:name="_Toc21702"/>
      <w:bookmarkStart w:id="28" w:name="_Toc1697836362"/>
      <w:r>
        <w:rPr>
          <w:rFonts w:hint="eastAsia" w:ascii="方正黑体_GBK" w:hAnsi="方正黑体_GBK" w:eastAsia="方正黑体_GBK" w:cs="方正黑体_GBK"/>
          <w:color w:val="auto"/>
          <w:sz w:val="32"/>
          <w:szCs w:val="32"/>
          <w:u w:val="none"/>
        </w:rPr>
        <w:t>一、总体要求</w:t>
      </w:r>
      <w:bookmarkEnd w:id="20"/>
      <w:bookmarkEnd w:id="21"/>
      <w:bookmarkEnd w:id="22"/>
      <w:bookmarkEnd w:id="23"/>
      <w:bookmarkEnd w:id="24"/>
      <w:bookmarkEnd w:id="25"/>
      <w:bookmarkEnd w:id="26"/>
      <w:bookmarkEnd w:id="27"/>
      <w:bookmarkEnd w:id="28"/>
    </w:p>
    <w:p>
      <w:pPr>
        <w:pStyle w:val="2"/>
        <w:spacing w:after="0" w:line="360" w:lineRule="auto"/>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以习近平新时代中国特色社会主义思想为指导，全面贯彻落实党的二十大精神，深入贯彻落实习近平总书记重要讲话重要指示重要批示精神特别是致厦门经济特区建设40周年贺信重要精神，对标国际最高标准最高水平，加快打造市场化、法治化、国际化、便利化一流营商环境，争创国家营商环境创新试点，提升国际国内商品循环和要素循环水平，推动高质量发展，为更高水平建设高素质高颜值现代化国际化城市、努力率先实现社会主义现代化提供强有力支撑。</w:t>
      </w:r>
    </w:p>
    <w:p>
      <w:pPr>
        <w:spacing w:line="360" w:lineRule="auto"/>
        <w:ind w:firstLine="640" w:firstLineChars="200"/>
        <w:outlineLvl w:val="0"/>
        <w:rPr>
          <w:rFonts w:ascii="方正黑体_GBK" w:hAnsi="方正黑体_GBK" w:eastAsia="方正黑体_GBK" w:cs="方正黑体_GBK"/>
          <w:color w:val="auto"/>
          <w:sz w:val="32"/>
          <w:szCs w:val="32"/>
          <w:highlight w:val="none"/>
          <w:u w:val="none"/>
        </w:rPr>
      </w:pPr>
      <w:bookmarkStart w:id="29" w:name="_Toc1639287752"/>
      <w:bookmarkStart w:id="30" w:name="_Toc17285"/>
      <w:bookmarkStart w:id="31" w:name="_Toc4352"/>
      <w:bookmarkStart w:id="32" w:name="_Toc29211"/>
      <w:bookmarkStart w:id="33" w:name="_Toc6018"/>
      <w:bookmarkStart w:id="34" w:name="_Toc14065"/>
      <w:bookmarkStart w:id="35" w:name="_Toc1658779242"/>
      <w:bookmarkStart w:id="36" w:name="_Toc14692"/>
      <w:bookmarkStart w:id="37" w:name="_Toc12992"/>
      <w:r>
        <w:rPr>
          <w:rFonts w:hint="eastAsia" w:ascii="方正黑体_GBK" w:hAnsi="方正黑体_GBK" w:eastAsia="方正黑体_GBK" w:cs="方正黑体_GBK"/>
          <w:color w:val="auto"/>
          <w:sz w:val="32"/>
          <w:szCs w:val="32"/>
          <w:highlight w:val="none"/>
          <w:u w:val="none"/>
        </w:rPr>
        <w:t>二、推进重点领域改革创新，激发市场</w:t>
      </w:r>
      <w:bookmarkEnd w:id="29"/>
      <w:bookmarkEnd w:id="30"/>
      <w:r>
        <w:rPr>
          <w:rFonts w:hint="eastAsia" w:ascii="方正黑体_GBK" w:hAnsi="方正黑体_GBK" w:eastAsia="方正黑体_GBK" w:cs="方正黑体_GBK"/>
          <w:color w:val="auto"/>
          <w:sz w:val="32"/>
          <w:szCs w:val="32"/>
          <w:highlight w:val="none"/>
          <w:u w:val="none"/>
        </w:rPr>
        <w:t>活力新优势</w:t>
      </w:r>
      <w:bookmarkEnd w:id="31"/>
      <w:bookmarkEnd w:id="32"/>
      <w:bookmarkEnd w:id="33"/>
      <w:bookmarkEnd w:id="34"/>
      <w:bookmarkEnd w:id="35"/>
      <w:bookmarkEnd w:id="36"/>
      <w:bookmarkEnd w:id="37"/>
    </w:p>
    <w:p>
      <w:pPr>
        <w:spacing w:line="360" w:lineRule="auto"/>
        <w:ind w:left="420"/>
        <w:outlineLvl w:val="1"/>
        <w:rPr>
          <w:rFonts w:ascii="方正楷体_GBK" w:hAnsi="方正楷体_GBK" w:eastAsia="方正楷体_GBK" w:cs="方正楷体_GBK"/>
          <w:b/>
          <w:bCs/>
          <w:color w:val="auto"/>
          <w:sz w:val="32"/>
          <w:szCs w:val="32"/>
          <w:highlight w:val="none"/>
          <w:u w:val="none"/>
        </w:rPr>
      </w:pPr>
      <w:bookmarkStart w:id="38" w:name="_Toc25341"/>
      <w:bookmarkStart w:id="39" w:name="_Toc5684"/>
      <w:bookmarkStart w:id="40" w:name="_Toc1672089392"/>
      <w:bookmarkStart w:id="41" w:name="_Toc11759"/>
      <w:bookmarkStart w:id="42" w:name="_Toc25922"/>
      <w:bookmarkStart w:id="43" w:name="_Toc32133"/>
      <w:bookmarkStart w:id="44" w:name="_Toc7103"/>
      <w:bookmarkStart w:id="45" w:name="_Toc1992016986"/>
      <w:bookmarkStart w:id="46" w:name="_Toc18863"/>
      <w:r>
        <w:rPr>
          <w:rFonts w:hint="eastAsia" w:ascii="方正楷体_GBK" w:hAnsi="方正楷体_GBK" w:eastAsia="方正楷体_GBK" w:cs="方正楷体_GBK"/>
          <w:b/>
          <w:bCs/>
          <w:color w:val="auto"/>
          <w:sz w:val="32"/>
          <w:szCs w:val="32"/>
          <w:highlight w:val="none"/>
          <w:u w:val="none"/>
        </w:rPr>
        <w:t>（一）建设竞争有序的市场环境</w:t>
      </w:r>
      <w:bookmarkEnd w:id="38"/>
      <w:bookmarkEnd w:id="39"/>
      <w:bookmarkEnd w:id="40"/>
      <w:bookmarkEnd w:id="41"/>
      <w:bookmarkEnd w:id="42"/>
      <w:bookmarkEnd w:id="43"/>
      <w:bookmarkEnd w:id="44"/>
      <w:bookmarkEnd w:id="45"/>
      <w:bookmarkEnd w:id="46"/>
    </w:p>
    <w:p>
      <w:pPr>
        <w:spacing w:line="360" w:lineRule="auto"/>
        <w:ind w:firstLine="642" w:firstLineChars="200"/>
        <w:outlineLvl w:val="2"/>
        <w:rPr>
          <w:rFonts w:hint="eastAsia" w:ascii="仿宋_GB2312" w:hAnsi="仿宋_GB2312" w:eastAsia="仿宋_GB2312" w:cs="仿宋_GB2312"/>
          <w:color w:val="auto"/>
          <w:sz w:val="32"/>
          <w:szCs w:val="32"/>
          <w:highlight w:val="none"/>
          <w:u w:val="none"/>
          <w:lang w:eastAsia="zh-CN"/>
        </w:rPr>
      </w:pPr>
      <w:bookmarkStart w:id="47" w:name="_Toc797614610"/>
      <w:bookmarkStart w:id="48" w:name="_Toc1274963125"/>
      <w:bookmarkStart w:id="49" w:name="_Toc14429"/>
      <w:bookmarkStart w:id="50" w:name="_Toc18661"/>
      <w:bookmarkStart w:id="51" w:name="_Toc839"/>
      <w:bookmarkStart w:id="52" w:name="_Toc5364"/>
      <w:bookmarkStart w:id="53" w:name="_Toc3403"/>
      <w:bookmarkStart w:id="54" w:name="_Toc4928"/>
      <w:bookmarkStart w:id="55" w:name="_Toc25884"/>
      <w:r>
        <w:rPr>
          <w:rFonts w:hint="eastAsia" w:ascii="仿宋_GB2312" w:hAnsi="仿宋_GB2312" w:eastAsia="仿宋_GB2312" w:cs="仿宋_GB2312"/>
          <w:b/>
          <w:bCs/>
          <w:color w:val="auto"/>
          <w:sz w:val="32"/>
          <w:szCs w:val="32"/>
          <w:highlight w:val="none"/>
          <w:u w:val="none"/>
        </w:rPr>
        <w:t>1.优化市场准入退出</w:t>
      </w:r>
      <w:bookmarkEnd w:id="47"/>
      <w:bookmarkEnd w:id="48"/>
      <w:bookmarkEnd w:id="49"/>
      <w:bookmarkEnd w:id="50"/>
      <w:bookmarkEnd w:id="51"/>
      <w:bookmarkEnd w:id="52"/>
      <w:bookmarkEnd w:id="53"/>
      <w:bookmarkEnd w:id="54"/>
      <w:bookmarkEnd w:id="55"/>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深入实施外商投资准入前国民待遇加负面清单管理制度，全面清理妨碍各类市场主体依法平等进入和退出市场，违法违规实行差别性、歧视性优惠政策，不当干预市场主体生产经营等行为。</w:t>
      </w:r>
      <w:r>
        <w:rPr>
          <w:rFonts w:hint="eastAsia" w:ascii="仿宋_GB2312" w:hAnsi="仿宋_GB2312" w:eastAsia="仿宋_GB2312" w:cs="仿宋_GB2312"/>
          <w:color w:val="auto"/>
          <w:kern w:val="0"/>
          <w:sz w:val="32"/>
          <w:szCs w:val="32"/>
          <w:highlight w:val="none"/>
          <w:u w:val="none"/>
        </w:rPr>
        <w:t>深入实施住所、经营场所“标准化登记</w:t>
      </w:r>
      <w:r>
        <w:rPr>
          <w:rFonts w:ascii="仿宋_GB2312" w:hAnsi="仿宋_GB2312" w:eastAsia="仿宋_GB2312" w:cs="仿宋_GB2312"/>
          <w:color w:val="auto"/>
          <w:kern w:val="0"/>
          <w:sz w:val="32"/>
          <w:szCs w:val="32"/>
          <w:highlight w:val="none"/>
          <w:u w:val="none"/>
        </w:rPr>
        <w:t>+申报承诺+告知承诺制”，便利企业开办</w:t>
      </w:r>
      <w:r>
        <w:rPr>
          <w:rFonts w:hint="eastAsia" w:ascii="仿宋_GB2312" w:hAnsi="仿宋_GB2312" w:eastAsia="仿宋_GB2312" w:cs="仿宋_GB2312"/>
          <w:color w:val="auto"/>
          <w:kern w:val="0"/>
          <w:sz w:val="32"/>
          <w:szCs w:val="32"/>
          <w:highlight w:val="none"/>
          <w:u w:val="none"/>
        </w:rPr>
        <w:t>。</w:t>
      </w:r>
      <w:r>
        <w:rPr>
          <w:rFonts w:ascii="宋体" w:hAnsi="宋体" w:eastAsia="宋体" w:cs="宋体"/>
          <w:kern w:val="0"/>
          <w:sz w:val="32"/>
          <w:szCs w:val="32"/>
        </w:rPr>
        <w:t>完善企业名</w:t>
      </w:r>
      <w:r>
        <w:rPr>
          <w:rFonts w:hint="eastAsia" w:ascii="仿宋_GB2312" w:hAnsi="仿宋_GB2312" w:eastAsia="仿宋_GB2312" w:cs="仿宋_GB2312"/>
          <w:color w:val="auto"/>
          <w:kern w:val="2"/>
          <w:sz w:val="32"/>
          <w:szCs w:val="32"/>
          <w:highlight w:val="none"/>
        </w:rPr>
        <w:t>称争议处理机制。深入推进企业高频证照变更联办“一件事”，优化全程网办功能。探索在相关行业领域企业登记流程中，嵌入环境许可告知性提示。</w:t>
      </w:r>
      <w:r>
        <w:rPr>
          <w:rFonts w:hint="eastAsia" w:ascii="仿宋_GB2312" w:hAnsi="仿宋_GB2312" w:eastAsia="仿宋_GB2312" w:cs="仿宋_GB2312"/>
          <w:color w:val="auto"/>
          <w:sz w:val="32"/>
          <w:szCs w:val="32"/>
          <w:highlight w:val="none"/>
          <w:u w:val="none"/>
          <w:lang w:eastAsia="zh-Hans"/>
        </w:rPr>
        <w:t>提升市场主体注销便利化水平</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Hans"/>
        </w:rPr>
        <w:t>持续</w:t>
      </w:r>
      <w:r>
        <w:rPr>
          <w:rFonts w:hint="eastAsia" w:ascii="仿宋_GB2312" w:hAnsi="仿宋_GB2312" w:eastAsia="仿宋_GB2312" w:cs="仿宋_GB2312"/>
          <w:color w:val="auto"/>
          <w:sz w:val="32"/>
          <w:szCs w:val="32"/>
          <w:highlight w:val="none"/>
          <w:u w:val="none"/>
        </w:rPr>
        <w:t>优化简易注销和一般注销办理程序</w:t>
      </w:r>
      <w:r>
        <w:rPr>
          <w:rFonts w:hint="eastAsia" w:ascii="仿宋_GB2312" w:hAnsi="仿宋_GB2312" w:eastAsia="仿宋_GB2312" w:cs="仿宋_GB2312"/>
          <w:color w:val="auto"/>
          <w:sz w:val="32"/>
          <w:szCs w:val="32"/>
          <w:highlight w:val="none"/>
          <w:u w:val="none"/>
          <w:lang w:eastAsia="zh-Hans"/>
        </w:rPr>
        <w:t>，提升市场主体注销便利化水平</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kern w:val="2"/>
          <w:sz w:val="32"/>
          <w:szCs w:val="32"/>
          <w:highlight w:val="none"/>
        </w:rPr>
        <w:t>建立健全歇业备案制度，加强部门间信息共享，推行“一口办理”</w:t>
      </w:r>
      <w:r>
        <w:rPr>
          <w:rFonts w:hint="eastAsia" w:ascii="仿宋_GB2312" w:hAnsi="仿宋_GB2312" w:eastAsia="仿宋_GB2312" w:cs="仿宋_GB2312"/>
          <w:b w:val="0"/>
          <w:bCs w:val="0"/>
          <w:color w:val="auto"/>
          <w:sz w:val="32"/>
          <w:szCs w:val="32"/>
          <w:highlight w:val="none"/>
          <w:u w:val="none"/>
          <w:lang w:eastAsia="zh-CN"/>
        </w:rPr>
        <w:t>。</w:t>
      </w:r>
    </w:p>
    <w:p>
      <w:pPr>
        <w:pStyle w:val="12"/>
        <w:widowControl/>
        <w:spacing w:before="0" w:beforeAutospacing="0" w:after="0" w:afterAutospacing="0" w:line="360" w:lineRule="auto"/>
        <w:ind w:firstLine="642" w:firstLineChars="200"/>
        <w:jc w:val="both"/>
        <w:outlineLvl w:val="2"/>
        <w:rPr>
          <w:rFonts w:ascii="仿宋_GB2312" w:hAnsi="仿宋_GB2312" w:eastAsia="仿宋_GB2312" w:cs="仿宋_GB2312"/>
          <w:color w:val="auto"/>
          <w:sz w:val="32"/>
          <w:szCs w:val="32"/>
          <w:highlight w:val="none"/>
          <w:u w:val="none"/>
        </w:rPr>
      </w:pPr>
      <w:bookmarkStart w:id="56" w:name="_Toc23759"/>
      <w:bookmarkStart w:id="57" w:name="_Toc26784"/>
      <w:bookmarkStart w:id="58" w:name="_Toc19870"/>
      <w:bookmarkStart w:id="59" w:name="_Toc20552"/>
      <w:bookmarkStart w:id="60" w:name="_Toc2013598359"/>
      <w:bookmarkStart w:id="61" w:name="_Toc6363"/>
      <w:bookmarkStart w:id="62" w:name="_Toc6141"/>
      <w:bookmarkStart w:id="63" w:name="_Toc737280265"/>
      <w:bookmarkStart w:id="64" w:name="_Toc272"/>
      <w:r>
        <w:rPr>
          <w:rFonts w:hint="eastAsia" w:ascii="仿宋_GB2312" w:hAnsi="仿宋_GB2312" w:eastAsia="仿宋_GB2312" w:cs="仿宋_GB2312"/>
          <w:b/>
          <w:bCs/>
          <w:color w:val="auto"/>
          <w:sz w:val="32"/>
          <w:szCs w:val="32"/>
          <w:highlight w:val="none"/>
          <w:u w:val="none"/>
        </w:rPr>
        <w:t>2.促进市场公平竞争</w:t>
      </w:r>
      <w:bookmarkEnd w:id="56"/>
      <w:bookmarkEnd w:id="57"/>
      <w:bookmarkEnd w:id="58"/>
      <w:bookmarkEnd w:id="59"/>
      <w:bookmarkEnd w:id="60"/>
      <w:bookmarkEnd w:id="61"/>
      <w:bookmarkEnd w:id="62"/>
      <w:bookmarkEnd w:id="63"/>
      <w:bookmarkEnd w:id="64"/>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严格执行国家关于垄断行为和不正当竞争行为的认定标准，结合实际开展公平竞争第三方独立审查试点工作，</w:t>
      </w:r>
      <w:r>
        <w:rPr>
          <w:rFonts w:hint="eastAsia" w:ascii="仿宋_GB2312" w:hAnsi="仿宋_GB2312" w:eastAsia="仿宋_GB2312" w:cs="仿宋_GB2312"/>
          <w:color w:val="auto"/>
          <w:spacing w:val="11"/>
          <w:sz w:val="32"/>
          <w:szCs w:val="32"/>
          <w:highlight w:val="none"/>
          <w:u w:val="none"/>
          <w:shd w:val="clear" w:color="auto" w:fill="FFFFFF"/>
          <w:lang w:bidi="ar"/>
        </w:rPr>
        <w:t>严格规范滞压占用经营者保证金、</w:t>
      </w:r>
      <w:r>
        <w:rPr>
          <w:rFonts w:hint="eastAsia" w:ascii="仿宋_GB2312" w:hAnsi="仿宋_GB2312" w:eastAsia="仿宋_GB2312" w:cs="仿宋_GB2312"/>
          <w:color w:val="auto"/>
          <w:spacing w:val="0"/>
          <w:sz w:val="32"/>
          <w:szCs w:val="32"/>
          <w:highlight w:val="none"/>
          <w:u w:val="none"/>
          <w:shd w:val="clear"/>
          <w:lang w:bidi="ar"/>
        </w:rPr>
        <w:t>交易款等行为，</w:t>
      </w:r>
      <w:r>
        <w:rPr>
          <w:rFonts w:hint="eastAsia" w:ascii="仿宋_GB2312" w:hAnsi="仿宋_GB2312" w:eastAsia="仿宋_GB2312" w:cs="仿宋_GB2312"/>
          <w:color w:val="auto"/>
          <w:kern w:val="0"/>
          <w:sz w:val="32"/>
          <w:szCs w:val="32"/>
          <w:highlight w:val="none"/>
        </w:rPr>
        <w:t>研究制订重点领域公平竞争审查规则。发布经营者集中申报、横向垄断协议案件宽大制度等合规指引</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pacing w:val="0"/>
          <w:sz w:val="32"/>
          <w:szCs w:val="32"/>
          <w:highlight w:val="none"/>
          <w:u w:val="none"/>
          <w:shd w:val="clear"/>
          <w:lang w:bidi="ar"/>
        </w:rPr>
        <w:t>有效维护市场公平竞争环境。</w:t>
      </w:r>
      <w:r>
        <w:rPr>
          <w:rFonts w:hint="eastAsia" w:ascii="仿宋_GB2312" w:hAnsi="仿宋_GB2312" w:eastAsia="仿宋_GB2312" w:cs="仿宋_GB2312"/>
          <w:color w:val="auto"/>
          <w:sz w:val="32"/>
          <w:szCs w:val="32"/>
          <w:highlight w:val="none"/>
          <w:u w:val="none"/>
        </w:rPr>
        <w:t>持续规范招投标主体行为，加强招投标全链条监管。取消违规设置的供应商预选库、资格库、名录库等。完善政府采购领域履约保证金、投标保证金收取机制，逐步扩大电子保函的接入和应用范围，清理指定金融机构或担保机构出具保函的行为，防范以资质、规模等条件，变相限制出具保函的金融机构或担保机构。招标人、招标代理机构、公共资源交易中心按照有关规定及时清退工程建设领域应退未退的沉淀投标保证金。完善政府采购评审机制，推动政府采购投标文件技术标实施匿名评审。强化公共资源交易平台与财政国库集中支付平台对接，压减付款时间。优化交易价款结算、手续费支付、电子发票开具等功能，提升全程电子化水平。</w:t>
      </w:r>
    </w:p>
    <w:p>
      <w:pPr>
        <w:spacing w:line="360" w:lineRule="auto"/>
        <w:ind w:firstLine="642" w:firstLineChars="200"/>
        <w:outlineLvl w:val="2"/>
        <w:rPr>
          <w:rFonts w:hint="eastAsia" w:ascii="仿宋_GB2312" w:hAnsi="仿宋_GB2312" w:eastAsia="仿宋_GB2312" w:cs="仿宋_GB2312"/>
          <w:color w:val="auto"/>
          <w:sz w:val="32"/>
          <w:szCs w:val="32"/>
          <w:highlight w:val="none"/>
          <w:u w:val="none"/>
          <w:lang w:eastAsia="zh-Hans"/>
        </w:rPr>
      </w:pPr>
      <w:bookmarkStart w:id="65" w:name="_Toc27507"/>
      <w:bookmarkStart w:id="66" w:name="_Toc655032257"/>
      <w:bookmarkStart w:id="67" w:name="_Toc30137"/>
      <w:bookmarkStart w:id="68" w:name="_Toc20013"/>
      <w:bookmarkStart w:id="69" w:name="_Toc28023"/>
      <w:bookmarkStart w:id="70" w:name="_Toc27814"/>
      <w:bookmarkStart w:id="71" w:name="_Toc32598"/>
      <w:bookmarkStart w:id="72" w:name="_Toc2023645218"/>
      <w:bookmarkStart w:id="73" w:name="_Toc32097"/>
      <w:r>
        <w:rPr>
          <w:rFonts w:hint="eastAsia" w:ascii="仿宋_GB2312" w:hAnsi="仿宋_GB2312" w:eastAsia="仿宋_GB2312" w:cs="仿宋_GB2312"/>
          <w:b/>
          <w:bCs/>
          <w:color w:val="auto"/>
          <w:sz w:val="32"/>
          <w:szCs w:val="32"/>
          <w:highlight w:val="none"/>
          <w:u w:val="none"/>
        </w:rPr>
        <w:t>3.加强融资支持服务</w:t>
      </w:r>
      <w:bookmarkEnd w:id="65"/>
      <w:bookmarkEnd w:id="66"/>
      <w:bookmarkEnd w:id="67"/>
      <w:bookmarkEnd w:id="68"/>
      <w:bookmarkEnd w:id="69"/>
      <w:bookmarkEnd w:id="70"/>
      <w:bookmarkEnd w:id="71"/>
      <w:bookmarkEnd w:id="72"/>
      <w:bookmarkEnd w:id="73"/>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推进无还本续贷增量扩面，完善小微企业“四贷”长效机制。鼓励银行等金融机构对小微企业等予以合理优惠，适当减免账户管理服务等收费，全面提供简易开户免费服务，推动人民币结算、电子银行、银行卡刷卡、支付账户等领域减费让利。积极引导金融机构强化存款利率自律管理，稳定银行机构负债端成本，发挥LPR改革效能，推动企业综合融资成本稳中有降。坚决查处银行未按照规定进行服务价格信息披露以及在融资服务中不落实小微企业收费优惠政策、转嫁成本、强制捆绑搭售保险或理财产品等行为。深化信易贷平台（厦门市首贷续贷服务中心）金融科技内核，探索实现公共信用数据与市场信用数据的安全融合，助力金融机构的信贷产品研发、信用评估和风险管理。依托</w:t>
      </w:r>
      <w:r>
        <w:rPr>
          <w:rFonts w:hint="eastAsia" w:ascii="仿宋_GB2312" w:hAnsi="仿宋_GB2312" w:eastAsia="仿宋_GB2312" w:cs="仿宋_GB2312"/>
          <w:color w:val="auto"/>
          <w:sz w:val="32"/>
          <w:szCs w:val="32"/>
          <w:highlight w:val="none"/>
          <w:u w:val="none"/>
          <w:lang w:val="en"/>
        </w:rPr>
        <w:t>厦门地方金融纠纷调解中心、厦门国际金融仲裁中心、</w:t>
      </w:r>
      <w:r>
        <w:rPr>
          <w:rFonts w:hint="eastAsia" w:ascii="仿宋_GB2312" w:hAnsi="仿宋_GB2312" w:eastAsia="仿宋_GB2312" w:cs="仿宋_GB2312"/>
          <w:color w:val="auto"/>
          <w:sz w:val="32"/>
          <w:szCs w:val="32"/>
          <w:highlight w:val="none"/>
          <w:u w:val="none"/>
        </w:rPr>
        <w:t>中证厦门调解工作站等平台，</w:t>
      </w:r>
      <w:r>
        <w:rPr>
          <w:rFonts w:hint="eastAsia" w:ascii="仿宋_GB2312" w:hAnsi="仿宋_GB2312" w:eastAsia="仿宋_GB2312" w:cs="仿宋_GB2312"/>
          <w:color w:val="auto"/>
          <w:sz w:val="32"/>
          <w:szCs w:val="32"/>
          <w:highlight w:val="none"/>
          <w:u w:val="none"/>
          <w:lang w:val="en"/>
        </w:rPr>
        <w:t>持续推进金融纠纷多元化调解机制建设，打造多元协同调解机制，联动构建“调诉一体”模式，</w:t>
      </w:r>
      <w:r>
        <w:rPr>
          <w:rFonts w:hint="eastAsia" w:ascii="仿宋_GB2312" w:hAnsi="仿宋_GB2312" w:eastAsia="仿宋_GB2312" w:cs="仿宋_GB2312"/>
          <w:color w:val="auto"/>
          <w:sz w:val="32"/>
          <w:szCs w:val="32"/>
          <w:highlight w:val="none"/>
          <w:u w:val="none"/>
        </w:rPr>
        <w:t>保护中小投资者合法权益</w:t>
      </w:r>
      <w:r>
        <w:rPr>
          <w:rFonts w:hint="eastAsia" w:ascii="仿宋_GB2312" w:hAnsi="仿宋_GB2312" w:eastAsia="仿宋_GB2312" w:cs="仿宋_GB2312"/>
          <w:color w:val="auto"/>
          <w:sz w:val="32"/>
          <w:szCs w:val="32"/>
          <w:highlight w:val="none"/>
          <w:u w:val="none"/>
          <w:lang w:eastAsia="zh-Hans"/>
        </w:rPr>
        <w:t>。</w:t>
      </w:r>
    </w:p>
    <w:p>
      <w:pPr>
        <w:spacing w:line="360" w:lineRule="auto"/>
        <w:ind w:firstLine="642" w:firstLineChars="200"/>
        <w:outlineLvl w:val="2"/>
        <w:rPr>
          <w:rFonts w:ascii="仿宋_GB2312" w:hAnsi="仿宋_GB2312" w:eastAsia="仿宋_GB2312" w:cs="仿宋_GB2312"/>
          <w:b/>
          <w:bCs/>
          <w:color w:val="auto"/>
          <w:sz w:val="32"/>
          <w:szCs w:val="32"/>
          <w:highlight w:val="none"/>
          <w:u w:val="none"/>
        </w:rPr>
      </w:pPr>
      <w:bookmarkStart w:id="74" w:name="_Toc15386"/>
      <w:bookmarkStart w:id="75" w:name="_Toc27820"/>
      <w:bookmarkStart w:id="76" w:name="_Toc27897"/>
      <w:bookmarkStart w:id="77" w:name="_Toc20117"/>
      <w:bookmarkStart w:id="78" w:name="_Toc15867"/>
      <w:bookmarkStart w:id="79" w:name="_Toc5428"/>
      <w:bookmarkStart w:id="80" w:name="_Toc1974276971"/>
      <w:bookmarkStart w:id="81" w:name="_Toc1271743051"/>
      <w:bookmarkStart w:id="82" w:name="_Toc5815"/>
      <w:r>
        <w:rPr>
          <w:rFonts w:hint="eastAsia" w:ascii="楷体_GB2312" w:hAnsi="楷体_GB2312" w:eastAsia="楷体_GB2312" w:cs="楷体_GB2312"/>
          <w:b/>
          <w:bCs/>
          <w:color w:val="auto"/>
          <w:sz w:val="32"/>
          <w:szCs w:val="32"/>
          <w:highlight w:val="none"/>
          <w:u w:val="none"/>
        </w:rPr>
        <w:t>4.规范涉企收费</w:t>
      </w:r>
      <w:bookmarkEnd w:id="74"/>
      <w:bookmarkEnd w:id="75"/>
      <w:bookmarkEnd w:id="76"/>
      <w:bookmarkEnd w:id="77"/>
      <w:bookmarkEnd w:id="78"/>
      <w:bookmarkEnd w:id="79"/>
      <w:bookmarkEnd w:id="80"/>
      <w:bookmarkEnd w:id="81"/>
      <w:bookmarkEnd w:id="82"/>
      <w:r>
        <w:rPr>
          <w:rFonts w:hint="eastAsia" w:ascii="楷体_GB2312" w:hAnsi="楷体_GB2312" w:eastAsia="楷体_GB2312" w:cs="楷体_GB2312"/>
          <w:b/>
          <w:bCs/>
          <w:color w:val="auto"/>
          <w:sz w:val="32"/>
          <w:szCs w:val="32"/>
          <w:highlight w:val="none"/>
          <w:u w:val="none"/>
        </w:rPr>
        <w:t>。</w:t>
      </w:r>
      <w:bookmarkStart w:id="83" w:name="_Toc7259"/>
      <w:bookmarkStart w:id="84" w:name="_Toc5162"/>
      <w:bookmarkStart w:id="85" w:name="_Toc31013"/>
      <w:bookmarkStart w:id="86" w:name="_Toc4963"/>
      <w:bookmarkStart w:id="87" w:name="_Toc6614"/>
      <w:bookmarkStart w:id="88" w:name="_Toc1782632305"/>
      <w:bookmarkStart w:id="89" w:name="_Toc16916"/>
      <w:bookmarkStart w:id="90" w:name="_Toc25501"/>
      <w:bookmarkStart w:id="91" w:name="_Toc1931491950"/>
      <w:bookmarkStart w:id="92" w:name="_Toc25810"/>
      <w:r>
        <w:rPr>
          <w:rFonts w:hint="eastAsia" w:ascii="仿宋_GB2312" w:hAnsi="仿宋_GB2312" w:eastAsia="仿宋_GB2312" w:cs="仿宋_GB2312"/>
          <w:color w:val="auto"/>
          <w:sz w:val="32"/>
          <w:szCs w:val="32"/>
          <w:highlight w:val="none"/>
          <w:u w:val="none"/>
        </w:rPr>
        <w:t>依法依规从严控制新设涉企收费项目，严厉查处强制摊派、征收过头税费、退税减税降费落实不到位、违规设置罚款项目、擅自提高罚款标准等行为。</w:t>
      </w:r>
      <w:r>
        <w:rPr>
          <w:rFonts w:hint="eastAsia" w:ascii="仿宋_GB2312" w:hAnsi="仿宋_GB2312" w:eastAsia="仿宋_GB2312" w:cs="仿宋_GB2312"/>
          <w:color w:val="auto"/>
          <w:kern w:val="0"/>
          <w:sz w:val="32"/>
          <w:szCs w:val="32"/>
          <w:highlight w:val="none"/>
          <w:u w:val="none"/>
        </w:rPr>
        <w:t>执行建筑区划红线外用户水电气接入“零负担”政策，</w:t>
      </w:r>
      <w:r>
        <w:rPr>
          <w:rFonts w:hint="eastAsia" w:ascii="仿宋_GB2312" w:hAnsi="仿宋_GB2312" w:eastAsia="仿宋_GB2312" w:cs="仿宋_GB2312"/>
          <w:color w:val="auto"/>
          <w:sz w:val="32"/>
          <w:szCs w:val="32"/>
          <w:highlight w:val="none"/>
          <w:u w:val="none"/>
        </w:rPr>
        <w:t>规范市政公用服务价外收费，</w:t>
      </w:r>
      <w:r>
        <w:rPr>
          <w:rFonts w:hint="eastAsia" w:ascii="仿宋_GB2312" w:hAnsi="仿宋_GB2312" w:eastAsia="仿宋_GB2312" w:cs="仿宋_GB2312"/>
          <w:color w:val="auto"/>
          <w:kern w:val="0"/>
          <w:sz w:val="32"/>
          <w:szCs w:val="32"/>
          <w:highlight w:val="none"/>
          <w:u w:val="none"/>
        </w:rPr>
        <w:t>落实费率调整提前预通知机制，严禁变相增加企业负担，</w:t>
      </w:r>
      <w:r>
        <w:rPr>
          <w:rFonts w:hint="eastAsia" w:ascii="仿宋_GB2312" w:hAnsi="仿宋_GB2312" w:eastAsia="仿宋_GB2312" w:cs="仿宋_GB2312"/>
          <w:color w:val="auto"/>
          <w:sz w:val="32"/>
          <w:szCs w:val="32"/>
          <w:highlight w:val="none"/>
          <w:u w:val="none"/>
          <w:lang w:eastAsia="zh-Hans"/>
        </w:rPr>
        <w:t>严厉查处</w:t>
      </w:r>
      <w:r>
        <w:rPr>
          <w:rFonts w:hint="eastAsia" w:ascii="仿宋_GB2312" w:hAnsi="仿宋_GB2312" w:eastAsia="仿宋_GB2312" w:cs="仿宋_GB2312"/>
          <w:color w:val="auto"/>
          <w:sz w:val="32"/>
          <w:szCs w:val="32"/>
          <w:highlight w:val="none"/>
          <w:u w:val="none"/>
        </w:rPr>
        <w:t>强制捆绑搭售等行为</w:t>
      </w:r>
      <w:r>
        <w:rPr>
          <w:rFonts w:hint="eastAsia" w:ascii="仿宋_GB2312" w:hAnsi="仿宋_GB2312" w:eastAsia="仿宋_GB2312" w:cs="仿宋_GB2312"/>
          <w:color w:val="auto"/>
          <w:kern w:val="0"/>
          <w:sz w:val="32"/>
          <w:szCs w:val="32"/>
          <w:highlight w:val="none"/>
          <w:u w:val="none"/>
        </w:rPr>
        <w:t>。拓展燃气小型标准化接入适用范围，逐步降低接入工程费用。</w:t>
      </w:r>
      <w:r>
        <w:rPr>
          <w:rFonts w:hint="eastAsia" w:ascii="仿宋_GB2312" w:hAnsi="仿宋_GB2312" w:eastAsia="仿宋_GB2312" w:cs="仿宋_GB2312"/>
          <w:color w:val="auto"/>
          <w:sz w:val="32"/>
          <w:szCs w:val="32"/>
          <w:highlight w:val="none"/>
          <w:u w:val="none"/>
        </w:rPr>
        <w:t>强化</w:t>
      </w:r>
      <w:r>
        <w:rPr>
          <w:rFonts w:hint="eastAsia" w:ascii="仿宋_GB2312" w:hAnsi="仿宋_GB2312" w:eastAsia="仿宋_GB2312" w:cs="仿宋_GB2312"/>
          <w:color w:val="auto"/>
          <w:sz w:val="32"/>
          <w:szCs w:val="32"/>
          <w:highlight w:val="none"/>
          <w:u w:val="none"/>
          <w:lang w:eastAsia="zh-Hans"/>
        </w:rPr>
        <w:t>口岸、</w:t>
      </w:r>
      <w:r>
        <w:rPr>
          <w:rFonts w:hint="eastAsia" w:ascii="仿宋_GB2312" w:hAnsi="仿宋_GB2312" w:eastAsia="仿宋_GB2312" w:cs="仿宋_GB2312"/>
          <w:color w:val="auto"/>
          <w:sz w:val="32"/>
          <w:szCs w:val="32"/>
          <w:highlight w:val="none"/>
          <w:u w:val="none"/>
        </w:rPr>
        <w:t>货场、专用线等货运领域收费监管，依法规范船公司、船代公司、货代公司等收费行为，落实收费目录清单公示制度，规范收费项目和标准。</w:t>
      </w:r>
      <w:bookmarkEnd w:id="83"/>
      <w:bookmarkEnd w:id="84"/>
      <w:bookmarkEnd w:id="85"/>
      <w:bookmarkEnd w:id="86"/>
      <w:bookmarkEnd w:id="87"/>
      <w:bookmarkEnd w:id="88"/>
      <w:bookmarkEnd w:id="89"/>
      <w:bookmarkEnd w:id="90"/>
      <w:bookmarkEnd w:id="91"/>
      <w:bookmarkEnd w:id="92"/>
    </w:p>
    <w:p>
      <w:pPr>
        <w:pStyle w:val="12"/>
        <w:widowControl/>
        <w:spacing w:before="0" w:beforeAutospacing="0" w:after="0" w:afterAutospacing="0" w:line="360" w:lineRule="auto"/>
        <w:ind w:firstLine="642" w:firstLineChars="200"/>
        <w:jc w:val="both"/>
        <w:outlineLvl w:val="2"/>
        <w:rPr>
          <w:rFonts w:ascii="仿宋_GB2312" w:hAnsi="仿宋_GB2312" w:eastAsia="仿宋_GB2312" w:cs="仿宋_GB2312"/>
          <w:color w:val="auto"/>
          <w:sz w:val="32"/>
          <w:szCs w:val="32"/>
          <w:highlight w:val="none"/>
          <w:u w:val="none"/>
        </w:rPr>
      </w:pPr>
      <w:bookmarkStart w:id="93" w:name="_Toc2127648083"/>
      <w:bookmarkStart w:id="94" w:name="_Toc27769"/>
      <w:bookmarkStart w:id="95" w:name="_Toc4674"/>
      <w:bookmarkStart w:id="96" w:name="_Toc751"/>
      <w:bookmarkStart w:id="97" w:name="_Toc30949"/>
      <w:bookmarkStart w:id="98" w:name="_Toc475592584"/>
      <w:bookmarkStart w:id="99" w:name="_Toc27392"/>
      <w:bookmarkStart w:id="100" w:name="_Toc10420"/>
      <w:bookmarkStart w:id="101" w:name="_Toc464"/>
      <w:r>
        <w:rPr>
          <w:rFonts w:hint="eastAsia" w:ascii="仿宋_GB2312" w:hAnsi="仿宋_GB2312" w:eastAsia="仿宋_GB2312" w:cs="仿宋_GB2312"/>
          <w:b/>
          <w:bCs/>
          <w:color w:val="auto"/>
          <w:sz w:val="32"/>
          <w:szCs w:val="32"/>
          <w:highlight w:val="none"/>
          <w:u w:val="none"/>
        </w:rPr>
        <w:t>5.强化市场监管水平</w:t>
      </w:r>
      <w:bookmarkEnd w:id="93"/>
      <w:bookmarkEnd w:id="94"/>
      <w:bookmarkEnd w:id="95"/>
      <w:bookmarkEnd w:id="96"/>
      <w:bookmarkEnd w:id="97"/>
      <w:bookmarkEnd w:id="98"/>
      <w:bookmarkEnd w:id="99"/>
      <w:bookmarkEnd w:id="100"/>
      <w:bookmarkEnd w:id="101"/>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推动“双随机、一公开”监管常态化和规范化，修订完善市、区跨部门联合抽查事项清单，对于一般抽查事项严格控制抽查比例和次数，重点抽查事项结合分级分类结果加大对信用风险高监管对象的抽查力度。市场监管、税收管理、进出口等领域健全信用分级分类制度，依据风险高低实施差异化监管。</w:t>
      </w:r>
      <w:r>
        <w:rPr>
          <w:rFonts w:hint="eastAsia" w:ascii="仿宋_GB2312" w:hAnsi="仿宋_GB2312" w:eastAsia="仿宋_GB2312" w:cs="仿宋_GB2312"/>
          <w:color w:val="auto"/>
          <w:sz w:val="32"/>
          <w:szCs w:val="32"/>
          <w:highlight w:val="none"/>
          <w:u w:val="none"/>
          <w:lang w:eastAsia="zh-Hans"/>
        </w:rPr>
        <w:t>安全生产、食品安全、交通运输、生态环境等领域运用现代信息技术实施非现场监管，</w:t>
      </w:r>
      <w:r>
        <w:rPr>
          <w:rFonts w:hint="eastAsia" w:ascii="仿宋_GB2312" w:hAnsi="仿宋_GB2312" w:eastAsia="仿宋_GB2312" w:cs="仿宋_GB2312"/>
          <w:color w:val="auto"/>
          <w:sz w:val="32"/>
          <w:szCs w:val="32"/>
          <w:highlight w:val="none"/>
          <w:u w:val="none"/>
        </w:rPr>
        <w:t>避免对市场主体不必要干扰。加大劳动监察执法力度，保障劳动者合法合规报酬权益。完善劳动投诉申诉处理、争议解决等工作机制。加强灵活就业人员权益保护，推进新就业形态就业人员职业伤害保障试点，逐步提高灵活就业人员获得失业、医疗、养老等社会保障的覆盖面。</w:t>
      </w:r>
    </w:p>
    <w:p>
      <w:pPr>
        <w:spacing w:line="360" w:lineRule="auto"/>
        <w:ind w:left="420"/>
        <w:outlineLvl w:val="1"/>
        <w:rPr>
          <w:rFonts w:ascii="方正楷体_GBK" w:hAnsi="方正楷体_GBK" w:eastAsia="方正楷体_GBK" w:cs="方正楷体_GBK"/>
          <w:b/>
          <w:bCs/>
          <w:color w:val="auto"/>
          <w:sz w:val="32"/>
          <w:szCs w:val="32"/>
          <w:highlight w:val="none"/>
          <w:u w:val="none"/>
        </w:rPr>
      </w:pPr>
      <w:bookmarkStart w:id="102" w:name="_Toc1611357936"/>
      <w:bookmarkStart w:id="103" w:name="_Toc29466"/>
      <w:bookmarkStart w:id="104" w:name="_Toc24739"/>
      <w:bookmarkStart w:id="105" w:name="_Toc6205"/>
      <w:bookmarkStart w:id="106" w:name="_Toc4323"/>
      <w:bookmarkStart w:id="107" w:name="_Toc4452"/>
      <w:bookmarkStart w:id="108" w:name="_Toc6917"/>
      <w:bookmarkStart w:id="109" w:name="_Toc28469"/>
      <w:bookmarkStart w:id="110" w:name="_Toc1005760273"/>
      <w:r>
        <w:rPr>
          <w:rFonts w:hint="eastAsia" w:ascii="方正楷体_GBK" w:hAnsi="方正楷体_GBK" w:eastAsia="方正楷体_GBK" w:cs="方正楷体_GBK"/>
          <w:b/>
          <w:bCs/>
          <w:color w:val="auto"/>
          <w:sz w:val="32"/>
          <w:szCs w:val="32"/>
          <w:highlight w:val="none"/>
          <w:u w:val="none"/>
        </w:rPr>
        <w:t>（二）营造公平公正的法治环境</w:t>
      </w:r>
      <w:bookmarkEnd w:id="102"/>
      <w:bookmarkEnd w:id="103"/>
      <w:bookmarkEnd w:id="104"/>
      <w:bookmarkEnd w:id="105"/>
      <w:bookmarkEnd w:id="106"/>
      <w:bookmarkEnd w:id="107"/>
      <w:bookmarkEnd w:id="108"/>
      <w:bookmarkEnd w:id="109"/>
      <w:bookmarkEnd w:id="110"/>
    </w:p>
    <w:p>
      <w:pPr>
        <w:widowControl/>
        <w:spacing w:line="360" w:lineRule="auto"/>
        <w:ind w:firstLine="642" w:firstLineChars="200"/>
        <w:outlineLvl w:val="2"/>
        <w:rPr>
          <w:rFonts w:ascii="仿宋_GB2312" w:hAnsi="仿宋_GB2312" w:eastAsia="仿宋_GB2312" w:cs="仿宋_GB2312"/>
          <w:b/>
          <w:bCs/>
          <w:color w:val="auto"/>
          <w:sz w:val="32"/>
          <w:szCs w:val="32"/>
          <w:highlight w:val="none"/>
          <w:u w:val="none"/>
        </w:rPr>
      </w:pPr>
      <w:bookmarkStart w:id="111" w:name="_Toc1159428949"/>
      <w:bookmarkStart w:id="112" w:name="_Toc13660"/>
      <w:bookmarkStart w:id="113" w:name="_Toc238421466"/>
      <w:bookmarkStart w:id="114" w:name="_Toc18358"/>
      <w:bookmarkStart w:id="115" w:name="_Toc32259"/>
      <w:bookmarkStart w:id="116" w:name="_Toc2811"/>
      <w:bookmarkStart w:id="117" w:name="_Toc15940"/>
      <w:bookmarkStart w:id="118" w:name="_Toc16227"/>
      <w:bookmarkStart w:id="119" w:name="_Toc5795"/>
      <w:r>
        <w:rPr>
          <w:rFonts w:hint="eastAsia" w:ascii="仿宋_GB2312" w:hAnsi="仿宋_GB2312" w:eastAsia="仿宋_GB2312" w:cs="仿宋_GB2312"/>
          <w:b/>
          <w:bCs/>
          <w:color w:val="auto"/>
          <w:sz w:val="32"/>
          <w:szCs w:val="32"/>
          <w:highlight w:val="none"/>
          <w:u w:val="none"/>
        </w:rPr>
        <w:t>1.高效解决商业纠纷</w:t>
      </w:r>
      <w:bookmarkEnd w:id="111"/>
      <w:bookmarkEnd w:id="112"/>
      <w:bookmarkEnd w:id="113"/>
      <w:bookmarkEnd w:id="114"/>
      <w:bookmarkEnd w:id="115"/>
      <w:bookmarkEnd w:id="116"/>
      <w:bookmarkEnd w:id="117"/>
      <w:bookmarkEnd w:id="118"/>
      <w:bookmarkEnd w:id="119"/>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建立和完善机动车辆查控、拍卖一体化处理机制，通过信息化手段查找车辆下落线索，提供涉案车辆停放静态信息，支持将被执行车辆实际扣押到位。建立拍前税款预核机制，在执行办案系统开发拍前税款预核模块，解决过户环节税费缴交问题。建立网格员协助执行机制，将协助执行功能嵌入网格通平台，调动网格员的力量协助现场调查、文书送达、见证执行等工作，并纳入对各区的平安建设考评。建立长期未处置不动产清理机制，实现长期查封未处置的不动产信息共享，推动被闲置的不动产重新流通变现。积极推进解纷“一件事”改革。</w:t>
      </w:r>
    </w:p>
    <w:p>
      <w:pPr>
        <w:pStyle w:val="12"/>
        <w:widowControl/>
        <w:spacing w:before="0" w:beforeAutospacing="0" w:after="0" w:afterAutospacing="0" w:line="360" w:lineRule="auto"/>
        <w:ind w:firstLine="642" w:firstLineChars="200"/>
        <w:jc w:val="both"/>
        <w:outlineLvl w:val="2"/>
        <w:rPr>
          <w:rFonts w:ascii="仿宋_GB2312" w:hAnsi="仿宋_GB2312" w:eastAsia="仿宋_GB2312" w:cs="仿宋_GB2312"/>
          <w:color w:val="auto"/>
          <w:sz w:val="32"/>
          <w:szCs w:val="32"/>
          <w:highlight w:val="none"/>
          <w:u w:val="none"/>
        </w:rPr>
      </w:pPr>
      <w:bookmarkStart w:id="120" w:name="_Toc6137"/>
      <w:bookmarkStart w:id="121" w:name="_Toc1397282386"/>
      <w:bookmarkStart w:id="122" w:name="_Toc30053"/>
      <w:bookmarkStart w:id="123" w:name="_Toc8248"/>
      <w:bookmarkStart w:id="124" w:name="_Toc1056340825"/>
      <w:bookmarkStart w:id="125" w:name="_Toc15612"/>
      <w:bookmarkStart w:id="126" w:name="_Toc15458"/>
      <w:bookmarkStart w:id="127" w:name="_Toc8663"/>
      <w:bookmarkStart w:id="128" w:name="_Toc3634"/>
      <w:r>
        <w:rPr>
          <w:rFonts w:hint="eastAsia" w:ascii="仿宋_GB2312" w:hAnsi="仿宋_GB2312" w:eastAsia="仿宋_GB2312" w:cs="仿宋_GB2312"/>
          <w:b/>
          <w:bCs/>
          <w:color w:val="auto"/>
          <w:sz w:val="32"/>
          <w:szCs w:val="32"/>
          <w:highlight w:val="none"/>
          <w:u w:val="none"/>
        </w:rPr>
        <w:t>2.促进知识产权保护与运用</w:t>
      </w:r>
      <w:bookmarkEnd w:id="120"/>
      <w:bookmarkEnd w:id="121"/>
      <w:bookmarkEnd w:id="122"/>
      <w:bookmarkEnd w:id="123"/>
      <w:bookmarkEnd w:id="124"/>
      <w:bookmarkEnd w:id="125"/>
      <w:bookmarkEnd w:id="126"/>
      <w:bookmarkEnd w:id="127"/>
      <w:bookmarkEnd w:id="128"/>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持续推动知识产权保护体系建设，为中小微企业提供知识产权维权援助、纠纷调解、信息检索等公共服务。严格知识产权管理，依法规范非正常专利申请行为，及时查处违法使用商标和恶意申请商标注册等行为。构建类型化著作权纠纷诉前行政程序治理机制，更好发挥“行政+司法”从源头协同治理知识产权纠纷。鼓励政府性融资担保机构对所担保的知识产权质押融资业务视同信用贷款实行履行代偿责任。完善集体商标、证明商标管理制度，规范地理标志集体商标注册及使用，坚决遏制恶意诉讼或变相收取“会员费”“加盟费”等行为，切实保护小微商户合法权益。</w:t>
      </w:r>
    </w:p>
    <w:p>
      <w:pPr>
        <w:widowControl/>
        <w:spacing w:line="360" w:lineRule="auto"/>
        <w:ind w:firstLine="642" w:firstLineChars="200"/>
        <w:outlineLvl w:val="2"/>
        <w:rPr>
          <w:rFonts w:ascii="仿宋_GB2312" w:hAnsi="仿宋_GB2312" w:eastAsia="仿宋_GB2312" w:cs="仿宋_GB2312"/>
          <w:b/>
          <w:bCs/>
          <w:color w:val="auto"/>
          <w:sz w:val="32"/>
          <w:szCs w:val="32"/>
          <w:highlight w:val="none"/>
          <w:u w:val="none"/>
        </w:rPr>
      </w:pPr>
      <w:bookmarkStart w:id="129" w:name="_Toc2120686207"/>
      <w:bookmarkStart w:id="130" w:name="_Toc2705"/>
      <w:bookmarkStart w:id="131" w:name="_Toc10416"/>
      <w:bookmarkStart w:id="132" w:name="_Toc7574"/>
      <w:bookmarkStart w:id="133" w:name="_Toc7443"/>
      <w:bookmarkStart w:id="134" w:name="_Toc866405815"/>
      <w:bookmarkStart w:id="135" w:name="_Toc16720"/>
      <w:bookmarkStart w:id="136" w:name="_Toc11696"/>
      <w:bookmarkStart w:id="137" w:name="_Toc27520"/>
      <w:r>
        <w:rPr>
          <w:rFonts w:hint="eastAsia" w:ascii="仿宋_GB2312" w:hAnsi="仿宋_GB2312" w:eastAsia="仿宋_GB2312" w:cs="仿宋_GB2312"/>
          <w:b/>
          <w:bCs/>
          <w:color w:val="auto"/>
          <w:sz w:val="32"/>
          <w:szCs w:val="32"/>
          <w:highlight w:val="none"/>
          <w:u w:val="none"/>
        </w:rPr>
        <w:t>3.提升司法与行政执法水平</w:t>
      </w:r>
      <w:bookmarkEnd w:id="129"/>
      <w:bookmarkEnd w:id="130"/>
      <w:bookmarkEnd w:id="131"/>
      <w:bookmarkEnd w:id="132"/>
      <w:bookmarkEnd w:id="133"/>
      <w:bookmarkEnd w:id="134"/>
      <w:bookmarkEnd w:id="135"/>
      <w:bookmarkEnd w:id="136"/>
      <w:bookmarkEnd w:id="137"/>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严格落实行政执法三项制度，建立违反公平执法行为典型案例通报机制。</w:t>
      </w:r>
      <w:r>
        <w:rPr>
          <w:rFonts w:hint="eastAsia" w:ascii="仿宋_GB2312" w:eastAsia="仿宋_GB2312"/>
          <w:color w:val="auto"/>
          <w:sz w:val="32"/>
          <w:szCs w:val="32"/>
          <w:highlight w:val="none"/>
          <w:u w:val="none"/>
        </w:rPr>
        <w:t>修订行政机关负责人出庭应诉率评分标准，明确以行政负责人出庭应诉为原则，不出庭应诉为例外。建立行政诉讼风险评估沟通协调机制。</w:t>
      </w:r>
      <w:r>
        <w:rPr>
          <w:rFonts w:hint="eastAsia" w:ascii="仿宋_GB2312" w:hAnsi="仿宋_GB2312" w:eastAsia="仿宋_GB2312" w:cs="仿宋_GB2312"/>
          <w:color w:val="auto"/>
          <w:sz w:val="32"/>
          <w:szCs w:val="32"/>
          <w:highlight w:val="none"/>
          <w:u w:val="none"/>
        </w:rPr>
        <w:t>在市场监管、城市管理、应急管理、消防安全、交通运输、生态环境等领域，完善</w:t>
      </w:r>
      <w:bookmarkStart w:id="138" w:name="OLE_LINK2"/>
      <w:r>
        <w:rPr>
          <w:rFonts w:hint="eastAsia" w:ascii="仿宋_GB2312" w:hAnsi="仿宋_GB2312" w:eastAsia="仿宋_GB2312" w:cs="仿宋_GB2312"/>
          <w:color w:val="auto"/>
          <w:sz w:val="32"/>
          <w:szCs w:val="32"/>
          <w:highlight w:val="none"/>
          <w:u w:val="none"/>
        </w:rPr>
        <w:t>执法</w:t>
      </w:r>
      <w:bookmarkEnd w:id="138"/>
      <w:r>
        <w:rPr>
          <w:rFonts w:hint="eastAsia" w:ascii="仿宋_GB2312" w:hAnsi="仿宋_GB2312" w:eastAsia="仿宋_GB2312" w:cs="仿宋_GB2312"/>
          <w:color w:val="auto"/>
          <w:sz w:val="32"/>
          <w:szCs w:val="32"/>
          <w:highlight w:val="none"/>
          <w:u w:val="none"/>
        </w:rPr>
        <w:t>程序，明确具体操作流程，规范日常监管行为。全面实施轻微违法行为依法不予行政处罚清单，进一步扩大市场主体受惠面。</w:t>
      </w:r>
    </w:p>
    <w:p>
      <w:pPr>
        <w:spacing w:line="360" w:lineRule="auto"/>
        <w:ind w:firstLine="642" w:firstLineChars="200"/>
        <w:outlineLvl w:val="2"/>
        <w:rPr>
          <w:color w:val="auto"/>
          <w:highlight w:val="none"/>
          <w:u w:val="none"/>
        </w:rPr>
      </w:pPr>
      <w:bookmarkStart w:id="139" w:name="_Toc6184"/>
      <w:bookmarkStart w:id="140" w:name="_Toc29205"/>
      <w:bookmarkStart w:id="141" w:name="_Toc1860600145"/>
      <w:bookmarkStart w:id="142" w:name="_Toc2401"/>
      <w:bookmarkStart w:id="143" w:name="_Toc28443"/>
      <w:bookmarkStart w:id="144" w:name="_Toc21080"/>
      <w:bookmarkStart w:id="145" w:name="_Toc25858"/>
      <w:bookmarkStart w:id="146" w:name="_Toc21274"/>
      <w:bookmarkStart w:id="147" w:name="_Toc1047402977"/>
      <w:r>
        <w:rPr>
          <w:rFonts w:hint="eastAsia" w:ascii="仿宋_GB2312" w:hAnsi="仿宋_GB2312" w:eastAsia="仿宋_GB2312" w:cs="仿宋_GB2312"/>
          <w:b/>
          <w:bCs/>
          <w:color w:val="auto"/>
          <w:sz w:val="32"/>
          <w:szCs w:val="32"/>
          <w:highlight w:val="none"/>
          <w:u w:val="none"/>
        </w:rPr>
        <w:t>4.优化办理破产</w:t>
      </w:r>
      <w:bookmarkEnd w:id="139"/>
      <w:bookmarkEnd w:id="140"/>
      <w:bookmarkEnd w:id="141"/>
      <w:bookmarkEnd w:id="142"/>
      <w:bookmarkEnd w:id="143"/>
      <w:bookmarkEnd w:id="144"/>
      <w:bookmarkEnd w:id="145"/>
      <w:bookmarkEnd w:id="146"/>
      <w:bookmarkEnd w:id="147"/>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建立府院联动协调破产工作领导小组制度化、常态化工作模式，协调解决破产企业土地房产收储、征收补偿等重大问题。</w:t>
      </w:r>
      <w:r>
        <w:rPr>
          <w:rFonts w:hint="eastAsia" w:ascii="仿宋_GB2312" w:eastAsia="仿宋_GB2312"/>
          <w:color w:val="auto"/>
          <w:sz w:val="32"/>
          <w:szCs w:val="32"/>
          <w:highlight w:val="none"/>
          <w:u w:val="none"/>
        </w:rPr>
        <w:t>建立常态化破产财产快速处理协调机制，优化破产财产处置程序，及时解决破产企业土地、房产的收储、对价、征收赔偿等问题。设立破产案件共益债务融资基金，解决企业破产案件共益债务融资难问题。</w:t>
      </w:r>
      <w:r>
        <w:rPr>
          <w:rFonts w:hint="eastAsia" w:ascii="仿宋_GB2312" w:hAnsi="仿宋_GB2312" w:eastAsia="仿宋_GB2312" w:cs="仿宋_GB2312"/>
          <w:color w:val="auto"/>
          <w:sz w:val="32"/>
          <w:szCs w:val="32"/>
          <w:highlight w:val="none"/>
          <w:u w:val="none"/>
        </w:rPr>
        <w:t>健全完善破产管理人分级管理和动态监督考核机制，强化动态管理，增强考核评价的科学性和透明性。加大中小微企业破产程序实践探索，促进小微企业重整挽救。</w:t>
      </w:r>
    </w:p>
    <w:p>
      <w:pPr>
        <w:spacing w:line="360" w:lineRule="auto"/>
        <w:ind w:left="420"/>
        <w:outlineLvl w:val="1"/>
        <w:rPr>
          <w:rFonts w:ascii="方正楷体_GBK" w:hAnsi="方正楷体_GBK" w:eastAsia="方正楷体_GBK" w:cs="方正楷体_GBK"/>
          <w:b/>
          <w:bCs/>
          <w:color w:val="auto"/>
          <w:sz w:val="32"/>
          <w:szCs w:val="32"/>
          <w:highlight w:val="none"/>
          <w:u w:val="none"/>
        </w:rPr>
      </w:pPr>
      <w:bookmarkStart w:id="148" w:name="_Toc31289"/>
      <w:bookmarkStart w:id="149" w:name="_Toc1363912449"/>
      <w:bookmarkStart w:id="150" w:name="_Toc5274"/>
      <w:bookmarkStart w:id="151" w:name="_Toc13372"/>
      <w:bookmarkStart w:id="152" w:name="_Toc18432"/>
      <w:bookmarkStart w:id="153" w:name="_Toc1993"/>
      <w:bookmarkStart w:id="154" w:name="_Toc24744"/>
      <w:bookmarkStart w:id="155" w:name="_Toc267003077"/>
      <w:bookmarkStart w:id="156" w:name="_Toc21073"/>
      <w:r>
        <w:rPr>
          <w:rFonts w:hint="eastAsia" w:ascii="方正楷体_GBK" w:hAnsi="方正楷体_GBK" w:eastAsia="方正楷体_GBK" w:cs="方正楷体_GBK"/>
          <w:b/>
          <w:bCs/>
          <w:color w:val="auto"/>
          <w:sz w:val="32"/>
          <w:szCs w:val="32"/>
          <w:highlight w:val="none"/>
          <w:u w:val="none"/>
        </w:rPr>
        <w:t>（三）构建高效便捷的政务环境</w:t>
      </w:r>
      <w:bookmarkEnd w:id="148"/>
      <w:bookmarkEnd w:id="149"/>
      <w:bookmarkEnd w:id="150"/>
      <w:bookmarkEnd w:id="151"/>
      <w:bookmarkEnd w:id="152"/>
      <w:bookmarkEnd w:id="153"/>
      <w:bookmarkEnd w:id="154"/>
      <w:bookmarkEnd w:id="155"/>
      <w:bookmarkEnd w:id="156"/>
    </w:p>
    <w:p>
      <w:pPr>
        <w:spacing w:line="360" w:lineRule="auto"/>
        <w:ind w:firstLine="642" w:firstLineChars="200"/>
        <w:outlineLvl w:val="2"/>
        <w:rPr>
          <w:color w:val="auto"/>
          <w:highlight w:val="none"/>
          <w:u w:val="none"/>
        </w:rPr>
      </w:pPr>
      <w:bookmarkStart w:id="157" w:name="_Toc26346"/>
      <w:bookmarkStart w:id="158" w:name="_Toc1273"/>
      <w:bookmarkStart w:id="159" w:name="_Toc30453"/>
      <w:bookmarkStart w:id="160" w:name="_Toc1210455044"/>
      <w:bookmarkStart w:id="161" w:name="_Toc22145"/>
      <w:bookmarkStart w:id="162" w:name="_Toc29928"/>
      <w:bookmarkStart w:id="163" w:name="_Toc878367545"/>
      <w:bookmarkStart w:id="164" w:name="_Toc12448"/>
      <w:bookmarkStart w:id="165" w:name="_Toc29208"/>
      <w:r>
        <w:rPr>
          <w:rFonts w:hint="eastAsia" w:ascii="仿宋_GB2312" w:hAnsi="仿宋_GB2312" w:eastAsia="仿宋_GB2312" w:cs="仿宋_GB2312"/>
          <w:b/>
          <w:bCs/>
          <w:color w:val="auto"/>
          <w:sz w:val="32"/>
          <w:szCs w:val="32"/>
          <w:highlight w:val="none"/>
          <w:u w:val="none"/>
        </w:rPr>
        <w:t>1.优化政务服务水平</w:t>
      </w:r>
      <w:bookmarkEnd w:id="157"/>
      <w:bookmarkEnd w:id="158"/>
      <w:bookmarkEnd w:id="159"/>
      <w:bookmarkEnd w:id="160"/>
      <w:bookmarkEnd w:id="161"/>
      <w:bookmarkEnd w:id="162"/>
      <w:bookmarkEnd w:id="163"/>
      <w:bookmarkEnd w:id="164"/>
      <w:bookmarkEnd w:id="165"/>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在完成国家要求的13类“一件事一次办”常规事项的基础上，探</w:t>
      </w:r>
      <w:bookmarkStart w:id="370" w:name="_GoBack"/>
      <w:bookmarkEnd w:id="370"/>
      <w:r>
        <w:rPr>
          <w:rFonts w:hint="eastAsia" w:ascii="仿宋_GB2312" w:hAnsi="仿宋_GB2312" w:eastAsia="仿宋_GB2312" w:cs="仿宋_GB2312"/>
          <w:color w:val="auto"/>
          <w:sz w:val="32"/>
          <w:szCs w:val="32"/>
          <w:highlight w:val="none"/>
          <w:u w:val="none"/>
        </w:rPr>
        <w:t>索个人和企业全生命周期</w:t>
      </w:r>
      <w:bookmarkStart w:id="166" w:name="OLE_LINK3"/>
      <w:r>
        <w:rPr>
          <w:rFonts w:hint="eastAsia" w:ascii="仿宋_GB2312" w:hAnsi="仿宋_GB2312" w:eastAsia="仿宋_GB2312" w:cs="仿宋_GB2312"/>
          <w:color w:val="auto"/>
          <w:sz w:val="32"/>
          <w:szCs w:val="32"/>
          <w:highlight w:val="none"/>
          <w:u w:val="none"/>
        </w:rPr>
        <w:t>“一件事一次办”</w:t>
      </w:r>
      <w:bookmarkEnd w:id="166"/>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b w:val="0"/>
          <w:bCs/>
          <w:sz w:val="32"/>
          <w:szCs w:val="32"/>
          <w:lang w:val="en-US" w:eastAsia="zh-CN"/>
        </w:rPr>
        <w:t>规范提升市、区两级已推出‘一件事’集成服务水平，</w:t>
      </w:r>
      <w:r>
        <w:rPr>
          <w:rFonts w:hint="eastAsia" w:ascii="仿宋_GB2312" w:hAnsi="仿宋_GB2312" w:eastAsia="仿宋_GB2312" w:cs="仿宋_GB2312"/>
          <w:color w:val="auto"/>
          <w:sz w:val="32"/>
          <w:szCs w:val="32"/>
          <w:highlight w:val="none"/>
          <w:u w:val="none"/>
        </w:rPr>
        <w:t>扩大服务事项范围。全面推行非税收入一般缴款书（电子）和数字化电子发票。</w:t>
      </w:r>
      <w:r>
        <w:rPr>
          <w:rFonts w:hint="eastAsia" w:ascii="仿宋_GB2312" w:hAnsi="仿宋_GB2312" w:eastAsia="仿宋_GB2312" w:cs="仿宋_GB2312"/>
          <w:color w:val="auto"/>
          <w:kern w:val="0"/>
          <w:sz w:val="32"/>
          <w:szCs w:val="32"/>
          <w:highlight w:val="none"/>
          <w:u w:val="none"/>
        </w:rPr>
        <w:t>推进增值税留抵退税、出口退税、企业所得税汇算清缴退税、误收多缴退税办理流程改造提速。</w:t>
      </w:r>
      <w:r>
        <w:rPr>
          <w:rFonts w:hint="eastAsia" w:ascii="仿宋_GB2312" w:hAnsi="仿宋_GB2312" w:eastAsia="仿宋_GB2312" w:cs="仿宋_GB2312"/>
          <w:color w:val="auto"/>
          <w:sz w:val="32"/>
          <w:szCs w:val="32"/>
          <w:highlight w:val="none"/>
          <w:u w:val="none"/>
        </w:rPr>
        <w:t>推行失业保险稳岗返还、以工代训补贴、脱贫人口外出务工交通补贴、生活费补贴等政策“免申即享”。实施企业吸纳就业社会保险补贴“直补快办”。</w:t>
      </w:r>
    </w:p>
    <w:p>
      <w:pPr>
        <w:widowControl/>
        <w:spacing w:line="240" w:lineRule="auto"/>
        <w:ind w:firstLine="540" w:firstLineChars="0"/>
        <w:jc w:val="left"/>
        <w:outlineLvl w:val="9"/>
        <w:rPr>
          <w:rFonts w:hint="eastAsia" w:ascii="仿宋_GB2312" w:hAnsi="仿宋_GB2312" w:eastAsia="仿宋_GB2312" w:cs="仿宋_GB2312"/>
          <w:b w:val="0"/>
          <w:bCs w:val="0"/>
          <w:color w:val="auto"/>
          <w:sz w:val="32"/>
          <w:szCs w:val="32"/>
          <w:highlight w:val="none"/>
          <w:u w:val="none"/>
        </w:rPr>
      </w:pPr>
      <w:bookmarkStart w:id="167" w:name="_Toc13472"/>
      <w:bookmarkStart w:id="168" w:name="_Toc2013003824"/>
      <w:bookmarkStart w:id="169" w:name="_Toc20946"/>
      <w:bookmarkStart w:id="170" w:name="_Toc18065"/>
      <w:bookmarkStart w:id="171" w:name="_Toc14829"/>
      <w:bookmarkStart w:id="172" w:name="_Toc1440729425"/>
      <w:bookmarkStart w:id="173" w:name="_Toc4700"/>
      <w:bookmarkStart w:id="174" w:name="_Toc27725"/>
      <w:bookmarkStart w:id="175" w:name="_Toc27950"/>
      <w:r>
        <w:rPr>
          <w:rFonts w:hint="eastAsia" w:ascii="仿宋_GB2312" w:hAnsi="仿宋_GB2312" w:eastAsia="仿宋_GB2312" w:cs="仿宋_GB2312"/>
          <w:b/>
          <w:bCs/>
          <w:color w:val="auto"/>
          <w:sz w:val="32"/>
          <w:szCs w:val="32"/>
          <w:highlight w:val="none"/>
          <w:u w:val="none"/>
        </w:rPr>
        <w:t>2.提升获取经营场所便利度</w:t>
      </w:r>
      <w:bookmarkEnd w:id="167"/>
      <w:bookmarkEnd w:id="168"/>
      <w:bookmarkEnd w:id="169"/>
      <w:bookmarkEnd w:id="170"/>
      <w:bookmarkEnd w:id="171"/>
      <w:bookmarkEnd w:id="172"/>
      <w:bookmarkEnd w:id="173"/>
      <w:bookmarkEnd w:id="174"/>
      <w:bookmarkEnd w:id="175"/>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持续推进产业园区建设项目区域综合评估，进一步扩大区域综合评估范围，完善各行业领域评估事项的标准制定、编制指导、成果评审、监督检查等工作。强化多规平台策划生成与审批工作衔接，推进用地预审与选址即来即办。完善土地二级市场交易平台功能，引导和鼓励存量低效用地进入土地二级市场交易平台转让、盘活、利用。分阶段整合各类测量测绘事项，推动建设项目全流程“多测合一”。</w:t>
      </w:r>
      <w:r>
        <w:rPr>
          <w:rFonts w:hint="eastAsia" w:ascii="仿宋_GB2312" w:hAnsi="仿宋_GB2312" w:eastAsia="仿宋_GB2312" w:cs="仿宋_GB2312"/>
          <w:color w:val="auto"/>
          <w:kern w:val="0"/>
          <w:sz w:val="32"/>
          <w:szCs w:val="32"/>
          <w:highlight w:val="none"/>
          <w:u w:val="none"/>
        </w:rPr>
        <w:t>推动不动产登记与税务、财政、银联等信息互联共享，实现不动产登记费、税费线上一次收缴、后台自动清分入账（库）。全面开展二手房交易登记“带押过户”，进一步提升完善转移登记和抵押登记合并办理模式，实现全市商业银行、经纪机构办理全覆盖。</w:t>
      </w:r>
      <w:r>
        <w:rPr>
          <w:rFonts w:hint="eastAsia" w:ascii="仿宋_GB2312" w:hAnsi="仿宋_GB2312" w:eastAsia="仿宋_GB2312" w:cs="仿宋_GB2312"/>
          <w:color w:val="auto"/>
          <w:kern w:val="2"/>
          <w:sz w:val="32"/>
          <w:szCs w:val="32"/>
          <w:highlight w:val="none"/>
        </w:rPr>
        <w:t>指导各区以特色产业园区为重点试点建设经营场所资源信息平台，为企业落户提供便利化服务。</w:t>
      </w:r>
    </w:p>
    <w:p>
      <w:pPr>
        <w:spacing w:line="360" w:lineRule="auto"/>
        <w:ind w:firstLine="642" w:firstLineChars="200"/>
        <w:outlineLvl w:val="2"/>
        <w:rPr>
          <w:rFonts w:ascii="方正黑体_GBK" w:hAnsi="方正黑体_GBK" w:eastAsia="仿宋_GB2312" w:cs="方正黑体_GBK"/>
          <w:b/>
          <w:bCs/>
          <w:color w:val="auto"/>
          <w:sz w:val="32"/>
          <w:szCs w:val="32"/>
          <w:highlight w:val="none"/>
          <w:u w:val="none"/>
        </w:rPr>
      </w:pPr>
      <w:bookmarkStart w:id="176" w:name="_Toc1473"/>
      <w:bookmarkStart w:id="177" w:name="_Toc383"/>
      <w:bookmarkStart w:id="178" w:name="_Toc8877"/>
      <w:bookmarkStart w:id="179" w:name="_Toc19985"/>
      <w:bookmarkStart w:id="180" w:name="_Toc21646"/>
      <w:bookmarkStart w:id="181" w:name="_Toc1185004154"/>
      <w:bookmarkStart w:id="182" w:name="_Toc1530779539"/>
      <w:bookmarkStart w:id="183" w:name="_Toc29591"/>
      <w:bookmarkStart w:id="184" w:name="_Toc7080"/>
      <w:r>
        <w:rPr>
          <w:rFonts w:hint="eastAsia" w:ascii="仿宋_GB2312" w:hAnsi="仿宋_GB2312" w:eastAsia="仿宋_GB2312" w:cs="仿宋_GB2312"/>
          <w:b/>
          <w:bCs/>
          <w:color w:val="auto"/>
          <w:sz w:val="32"/>
          <w:szCs w:val="32"/>
          <w:highlight w:val="none"/>
          <w:u w:val="none"/>
        </w:rPr>
        <w:t>3.完善市政公用设施报装</w:t>
      </w:r>
      <w:bookmarkEnd w:id="176"/>
      <w:bookmarkEnd w:id="177"/>
      <w:bookmarkEnd w:id="178"/>
      <w:bookmarkEnd w:id="179"/>
      <w:bookmarkEnd w:id="180"/>
      <w:bookmarkEnd w:id="181"/>
      <w:bookmarkEnd w:id="182"/>
      <w:bookmarkEnd w:id="183"/>
      <w:bookmarkEnd w:id="184"/>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定期公布市政公用基础设施供应质量、可靠性和可持续性等关键指标数据。探索建立公用设施管线信息共享数据库和地理信息系统。</w:t>
      </w:r>
      <w:r>
        <w:rPr>
          <w:rFonts w:hint="eastAsia" w:ascii="仿宋_GB2312" w:hAnsi="仿宋_GB2312" w:eastAsia="仿宋_GB2312" w:cs="仿宋_GB2312"/>
          <w:color w:val="auto"/>
          <w:kern w:val="0"/>
          <w:sz w:val="32"/>
          <w:szCs w:val="32"/>
          <w:highlight w:val="none"/>
          <w:u w:val="none"/>
        </w:rPr>
        <w:t>推行供电、供水、供气及互联网服务可靠性管制计划，并根据考核情况予以奖惩。编制“获得电力”标准化事项，包含申请手续、材料、办理时限等有关事项，形成统一标准、统一办事指南。完善水电气网（宽带）报装独立投诉机制。</w:t>
      </w:r>
    </w:p>
    <w:p>
      <w:pPr>
        <w:spacing w:line="360" w:lineRule="auto"/>
        <w:ind w:firstLine="640" w:firstLineChars="200"/>
        <w:outlineLvl w:val="0"/>
        <w:rPr>
          <w:rFonts w:ascii="方正黑体_GBK" w:hAnsi="方正黑体_GBK" w:eastAsia="方正黑体_GBK" w:cs="方正黑体_GBK"/>
          <w:color w:val="auto"/>
          <w:sz w:val="32"/>
          <w:szCs w:val="32"/>
          <w:highlight w:val="none"/>
          <w:u w:val="none"/>
        </w:rPr>
      </w:pPr>
      <w:bookmarkStart w:id="185" w:name="_Toc59936486"/>
      <w:bookmarkStart w:id="186" w:name="_Toc17684"/>
      <w:bookmarkStart w:id="187" w:name="_Toc22307"/>
      <w:bookmarkStart w:id="188" w:name="_Toc2314"/>
      <w:bookmarkStart w:id="189" w:name="_Toc18846"/>
      <w:bookmarkStart w:id="190" w:name="_Toc1827562638"/>
      <w:bookmarkStart w:id="191" w:name="_Toc11432"/>
      <w:bookmarkStart w:id="192" w:name="_Toc1523"/>
      <w:bookmarkStart w:id="193" w:name="_Toc2821"/>
      <w:r>
        <w:rPr>
          <w:rFonts w:hint="eastAsia" w:ascii="方正黑体_GBK" w:hAnsi="方正黑体_GBK" w:eastAsia="方正黑体_GBK" w:cs="方正黑体_GBK"/>
          <w:color w:val="auto"/>
          <w:sz w:val="32"/>
          <w:szCs w:val="32"/>
          <w:highlight w:val="none"/>
          <w:u w:val="none"/>
        </w:rPr>
        <w:t>三、畅通国际国内双循环，</w:t>
      </w:r>
      <w:r>
        <w:rPr>
          <w:rFonts w:ascii="方正黑体_GBK" w:hAnsi="方正黑体_GBK" w:eastAsia="方正黑体_GBK" w:cs="方正黑体_GBK"/>
          <w:color w:val="auto"/>
          <w:sz w:val="32"/>
          <w:szCs w:val="32"/>
          <w:highlight w:val="none"/>
          <w:u w:val="none"/>
        </w:rPr>
        <w:t>打造</w:t>
      </w:r>
      <w:bookmarkEnd w:id="185"/>
      <w:bookmarkEnd w:id="186"/>
      <w:r>
        <w:rPr>
          <w:rFonts w:hint="eastAsia" w:ascii="方正黑体_GBK" w:hAnsi="方正黑体_GBK" w:eastAsia="方正黑体_GBK" w:cs="方正黑体_GBK"/>
          <w:color w:val="auto"/>
          <w:sz w:val="32"/>
          <w:szCs w:val="32"/>
          <w:highlight w:val="none"/>
          <w:u w:val="none"/>
        </w:rPr>
        <w:t>特区开放新优势</w:t>
      </w:r>
      <w:bookmarkEnd w:id="187"/>
      <w:bookmarkEnd w:id="188"/>
      <w:bookmarkEnd w:id="189"/>
      <w:bookmarkEnd w:id="190"/>
      <w:bookmarkEnd w:id="191"/>
      <w:bookmarkEnd w:id="192"/>
      <w:bookmarkEnd w:id="193"/>
    </w:p>
    <w:p>
      <w:pPr>
        <w:spacing w:line="360" w:lineRule="auto"/>
        <w:ind w:left="420"/>
        <w:outlineLvl w:val="1"/>
        <w:rPr>
          <w:rFonts w:ascii="方正楷体_GBK" w:hAnsi="方正楷体_GBK" w:eastAsia="方正楷体_GBK" w:cs="方正楷体_GBK"/>
          <w:b/>
          <w:bCs/>
          <w:color w:val="auto"/>
          <w:sz w:val="32"/>
          <w:szCs w:val="32"/>
          <w:highlight w:val="none"/>
          <w:u w:val="none"/>
        </w:rPr>
      </w:pPr>
      <w:bookmarkStart w:id="194" w:name="_Toc26786"/>
      <w:bookmarkStart w:id="195" w:name="_Toc1114003290"/>
      <w:bookmarkStart w:id="196" w:name="_Toc10895"/>
      <w:bookmarkStart w:id="197" w:name="_Toc2922"/>
      <w:bookmarkStart w:id="198" w:name="_Toc23284"/>
      <w:bookmarkStart w:id="199" w:name="_Toc9439"/>
      <w:bookmarkStart w:id="200" w:name="_Toc5732"/>
      <w:bookmarkStart w:id="201" w:name="_Toc1920882770"/>
      <w:bookmarkStart w:id="202" w:name="_Toc15671"/>
      <w:r>
        <w:rPr>
          <w:rFonts w:hint="eastAsia" w:ascii="方正楷体_GBK" w:hAnsi="方正楷体_GBK" w:eastAsia="方正楷体_GBK" w:cs="方正楷体_GBK"/>
          <w:b/>
          <w:bCs/>
          <w:color w:val="auto"/>
          <w:sz w:val="32"/>
          <w:szCs w:val="32"/>
          <w:highlight w:val="none"/>
          <w:u w:val="none"/>
        </w:rPr>
        <w:t>（一）巩固提升外循环层级</w:t>
      </w:r>
      <w:bookmarkEnd w:id="194"/>
      <w:bookmarkEnd w:id="195"/>
      <w:bookmarkEnd w:id="196"/>
      <w:bookmarkEnd w:id="197"/>
      <w:bookmarkEnd w:id="198"/>
      <w:bookmarkEnd w:id="199"/>
      <w:bookmarkEnd w:id="200"/>
      <w:bookmarkEnd w:id="201"/>
      <w:bookmarkEnd w:id="202"/>
    </w:p>
    <w:p>
      <w:pPr>
        <w:spacing w:line="360" w:lineRule="auto"/>
        <w:ind w:firstLine="642" w:firstLineChars="200"/>
        <w:outlineLvl w:val="2"/>
        <w:rPr>
          <w:rFonts w:hint="eastAsia" w:ascii="仿宋_GB2312" w:hAnsi="仿宋_GB2312" w:eastAsia="仿宋_GB2312" w:cs="仿宋_GB2312"/>
          <w:color w:val="auto"/>
          <w:sz w:val="32"/>
          <w:szCs w:val="32"/>
          <w:highlight w:val="none"/>
          <w:u w:val="none"/>
        </w:rPr>
      </w:pPr>
      <w:bookmarkStart w:id="203" w:name="_Toc12003"/>
      <w:bookmarkStart w:id="204" w:name="_Toc7845"/>
      <w:bookmarkStart w:id="205" w:name="_Toc21405"/>
      <w:bookmarkStart w:id="206" w:name="_Toc23585"/>
      <w:bookmarkStart w:id="207" w:name="_Toc15058"/>
      <w:bookmarkStart w:id="208" w:name="_Toc1409319739"/>
      <w:bookmarkStart w:id="209" w:name="_Toc8907"/>
      <w:bookmarkStart w:id="210" w:name="_Toc1721849427"/>
      <w:bookmarkStart w:id="211" w:name="_Toc20258"/>
      <w:r>
        <w:rPr>
          <w:rFonts w:hint="eastAsia" w:ascii="仿宋_GB2312" w:hAnsi="仿宋_GB2312" w:eastAsia="仿宋_GB2312" w:cs="仿宋_GB2312"/>
          <w:b/>
          <w:bCs/>
          <w:color w:val="auto"/>
          <w:sz w:val="32"/>
          <w:szCs w:val="32"/>
          <w:highlight w:val="none"/>
          <w:u w:val="none"/>
        </w:rPr>
        <w:t>1.打造制度型开放范本</w:t>
      </w:r>
      <w:bookmarkEnd w:id="203"/>
      <w:bookmarkEnd w:id="204"/>
      <w:bookmarkEnd w:id="205"/>
      <w:bookmarkEnd w:id="206"/>
      <w:bookmarkEnd w:id="207"/>
      <w:bookmarkEnd w:id="208"/>
      <w:bookmarkEnd w:id="209"/>
      <w:bookmarkEnd w:id="210"/>
      <w:bookmarkEnd w:id="211"/>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探索对接国际通行规则，加强RCEP、DEPA、CPTPP等国际高标准经贸规则研究试验，梳理完善与国际高标准经贸规则相关的规章制度，策划推动一批全国引领示范的创新举措。加强RCEP关税减让和享惠规则政策宣传、辅导和培训，利用RCEP项下累积规则、微小含量、原产地自主声明等规则条款，享受RCEP关税减让成果。完善</w:t>
      </w:r>
      <w:r>
        <w:rPr>
          <w:rFonts w:hint="eastAsia" w:ascii="仿宋_GB2312" w:hAnsi="仿宋_GB2312" w:eastAsia="仿宋_GB2312" w:cs="仿宋_GB2312"/>
          <w:color w:val="auto"/>
          <w:sz w:val="32"/>
          <w:szCs w:val="32"/>
          <w:highlight w:val="none"/>
          <w:u w:val="none"/>
          <w:lang w:eastAsia="zh-Hans"/>
        </w:rPr>
        <w:t>RCEP公共服务</w:t>
      </w:r>
      <w:r>
        <w:rPr>
          <w:rFonts w:hint="eastAsia" w:ascii="仿宋_GB2312" w:hAnsi="仿宋_GB2312" w:eastAsia="仿宋_GB2312" w:cs="仿宋_GB2312"/>
          <w:color w:val="auto"/>
          <w:sz w:val="32"/>
          <w:szCs w:val="32"/>
          <w:highlight w:val="none"/>
          <w:u w:val="none"/>
        </w:rPr>
        <w:t>平台功能，提供关税查询、原产地证书申请、市场准入咨询、遭遇技术壁垒阻碍反馈等公共服务。率先探索开展跨境数据安全规范流动、完善以数字产品为核心的经贸规则、提升数据安全保障能力等领域研究，形成数字贸易“厦门模板”。</w:t>
      </w:r>
    </w:p>
    <w:p>
      <w:pPr>
        <w:spacing w:line="360" w:lineRule="auto"/>
        <w:ind w:firstLine="642" w:firstLineChars="200"/>
        <w:outlineLvl w:val="2"/>
        <w:rPr>
          <w:color w:val="auto"/>
          <w:highlight w:val="none"/>
          <w:u w:val="none"/>
        </w:rPr>
      </w:pPr>
      <w:bookmarkStart w:id="212" w:name="_Toc11265"/>
      <w:bookmarkStart w:id="213" w:name="_Toc18309"/>
      <w:bookmarkStart w:id="214" w:name="_Toc26613"/>
      <w:bookmarkStart w:id="215" w:name="_Toc6642"/>
      <w:bookmarkStart w:id="216" w:name="_Toc2091989073"/>
      <w:bookmarkStart w:id="217" w:name="_Toc32528"/>
      <w:bookmarkStart w:id="218" w:name="_Toc1184638762"/>
      <w:bookmarkStart w:id="219" w:name="_Toc32240"/>
      <w:bookmarkStart w:id="220" w:name="_Toc10020"/>
      <w:r>
        <w:rPr>
          <w:rFonts w:hint="eastAsia" w:ascii="仿宋_GB2312" w:hAnsi="仿宋_GB2312" w:eastAsia="仿宋_GB2312" w:cs="仿宋_GB2312"/>
          <w:b/>
          <w:bCs/>
          <w:color w:val="auto"/>
          <w:sz w:val="32"/>
          <w:szCs w:val="32"/>
          <w:highlight w:val="none"/>
          <w:u w:val="none"/>
        </w:rPr>
        <w:t>2.建设国际一流口岸设施</w:t>
      </w:r>
      <w:bookmarkEnd w:id="212"/>
      <w:bookmarkEnd w:id="213"/>
      <w:bookmarkEnd w:id="214"/>
      <w:bookmarkEnd w:id="215"/>
      <w:bookmarkEnd w:id="216"/>
      <w:bookmarkEnd w:id="217"/>
      <w:bookmarkEnd w:id="218"/>
      <w:bookmarkEnd w:id="219"/>
      <w:bookmarkEnd w:id="220"/>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加快智慧港口建设，深入应用北斗、5G+、无人集卡自动驾驶等现代信息技术，升级重点港</w:t>
      </w:r>
      <w:r>
        <w:rPr>
          <w:rFonts w:ascii="仿宋_GB2312" w:hAnsi="仿宋_GB2312" w:eastAsia="仿宋_GB2312" w:cs="仿宋_GB2312"/>
          <w:color w:val="auto"/>
          <w:sz w:val="32"/>
          <w:szCs w:val="32"/>
          <w:highlight w:val="none"/>
          <w:u w:val="none"/>
        </w:rPr>
        <w:t>口</w:t>
      </w:r>
      <w:r>
        <w:rPr>
          <w:rFonts w:hint="eastAsia" w:ascii="仿宋_GB2312" w:hAnsi="仿宋_GB2312" w:eastAsia="仿宋_GB2312" w:cs="仿宋_GB2312"/>
          <w:color w:val="auto"/>
          <w:sz w:val="32"/>
          <w:szCs w:val="32"/>
          <w:highlight w:val="none"/>
          <w:u w:val="none"/>
        </w:rPr>
        <w:t>装备及设施智能化，推动集装箱全智能化改造工程项目。建设多式联运监管中心，加快推进远海铁路专用线建设，扩大进口“卸船直提”和出口“抵港直装”服务范围，开展多式联运提单改革试点，打造“航港站一体化、高效智慧标准协同”多式联运创新模式，推广应用多式联运“一单制”，探索多式联运“一单制”金融物权属性。推动建立集装箱、托盘等标准化装载器具循环共用体系。依托智慧物流平台，开展设备交接单、电子提货单的深入应用。加快推进口岸数字服务，率先试点在口岸联检单位之间实现海关检疫e码通、海事船员登记信息、船舶自动识别系统（AIS）等数据共享和应用，加大全程“无纸化”审批，探索推行电子签章。</w:t>
      </w:r>
    </w:p>
    <w:p>
      <w:pPr>
        <w:pStyle w:val="2"/>
        <w:spacing w:after="0" w:line="360" w:lineRule="auto"/>
        <w:ind w:firstLine="642" w:firstLineChars="200"/>
        <w:outlineLvl w:val="2"/>
        <w:rPr>
          <w:color w:val="auto"/>
          <w:highlight w:val="none"/>
          <w:u w:val="none"/>
        </w:rPr>
      </w:pPr>
      <w:bookmarkStart w:id="221" w:name="_Toc23228"/>
      <w:bookmarkStart w:id="222" w:name="_Toc3689"/>
      <w:bookmarkStart w:id="223" w:name="_Toc22972"/>
      <w:bookmarkStart w:id="224" w:name="_Toc1760871603"/>
      <w:bookmarkStart w:id="225" w:name="_Toc169"/>
      <w:bookmarkStart w:id="226" w:name="_Toc5329"/>
      <w:bookmarkStart w:id="227" w:name="_Toc9478"/>
      <w:bookmarkStart w:id="228" w:name="_Toc13094"/>
      <w:bookmarkStart w:id="229" w:name="_Toc1815869570"/>
      <w:r>
        <w:rPr>
          <w:rFonts w:hint="eastAsia" w:ascii="仿宋_GB2312" w:hAnsi="仿宋_GB2312" w:eastAsia="仿宋_GB2312" w:cs="仿宋_GB2312"/>
          <w:b/>
          <w:bCs/>
          <w:color w:val="auto"/>
          <w:sz w:val="32"/>
          <w:szCs w:val="32"/>
          <w:highlight w:val="none"/>
          <w:u w:val="none"/>
        </w:rPr>
        <w:t>3.加强国际贸易模式创新</w:t>
      </w:r>
      <w:bookmarkEnd w:id="221"/>
      <w:bookmarkEnd w:id="222"/>
      <w:bookmarkEnd w:id="223"/>
      <w:bookmarkEnd w:id="224"/>
      <w:bookmarkEnd w:id="225"/>
      <w:bookmarkEnd w:id="226"/>
      <w:bookmarkEnd w:id="227"/>
      <w:bookmarkEnd w:id="228"/>
      <w:bookmarkEnd w:id="229"/>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建设国家离岸经济先行区，拓展离岸贸易、跨国公司跨境资金池等业务规模，做大做强离岸型总部经济。大力拓展跨境电商新模式，做大跨境电商保税备货业务，拓展跨境电商企业对企业（B2B）直接出口和出口海外仓业务。深化服务贸易创新发展试点，支持企业建立国际（离岸）外包接包中心和研发中心、建设更多海外科技创新平台，探索海外离岸创新基地，推进知识产权服务业聚集，深化两岸服务贸易领域合作，更高水平推进国家文化出口基地建设，打造国家数字服务出口基地。</w:t>
      </w:r>
    </w:p>
    <w:p>
      <w:pPr>
        <w:spacing w:line="360" w:lineRule="auto"/>
        <w:ind w:left="420"/>
        <w:outlineLvl w:val="1"/>
        <w:rPr>
          <w:rFonts w:ascii="方正楷体_GBK" w:hAnsi="方正楷体_GBK" w:eastAsia="方正楷体_GBK" w:cs="方正楷体_GBK"/>
          <w:b/>
          <w:bCs/>
          <w:color w:val="auto"/>
          <w:sz w:val="32"/>
          <w:szCs w:val="32"/>
          <w:highlight w:val="none"/>
          <w:u w:val="none"/>
        </w:rPr>
      </w:pPr>
      <w:bookmarkStart w:id="230" w:name="_Toc16211"/>
      <w:bookmarkStart w:id="231" w:name="_Toc33"/>
      <w:bookmarkStart w:id="232" w:name="_Toc29262"/>
      <w:bookmarkStart w:id="233" w:name="_Toc25385"/>
      <w:bookmarkStart w:id="234" w:name="_Toc16479"/>
      <w:bookmarkStart w:id="235" w:name="_Toc937289123"/>
      <w:bookmarkStart w:id="236" w:name="_Toc22033"/>
      <w:bookmarkStart w:id="237" w:name="_Toc1364557861"/>
      <w:bookmarkStart w:id="238" w:name="_Toc19263"/>
      <w:r>
        <w:rPr>
          <w:rFonts w:hint="eastAsia" w:ascii="方正楷体_GBK" w:hAnsi="方正楷体_GBK" w:eastAsia="方正楷体_GBK" w:cs="方正楷体_GBK"/>
          <w:b/>
          <w:bCs/>
          <w:color w:val="auto"/>
          <w:sz w:val="32"/>
          <w:szCs w:val="32"/>
          <w:highlight w:val="none"/>
          <w:u w:val="none"/>
        </w:rPr>
        <w:t>（二）不断增强内循环动力</w:t>
      </w:r>
      <w:bookmarkEnd w:id="230"/>
      <w:bookmarkEnd w:id="231"/>
      <w:bookmarkEnd w:id="232"/>
      <w:bookmarkEnd w:id="233"/>
      <w:bookmarkEnd w:id="234"/>
      <w:bookmarkEnd w:id="235"/>
      <w:bookmarkEnd w:id="236"/>
      <w:bookmarkEnd w:id="237"/>
      <w:bookmarkEnd w:id="238"/>
    </w:p>
    <w:p>
      <w:pPr>
        <w:spacing w:line="360" w:lineRule="auto"/>
        <w:ind w:firstLine="642"/>
        <w:outlineLvl w:val="2"/>
        <w:rPr>
          <w:rFonts w:ascii="仿宋_GB2312" w:hAnsi="仿宋_GB2312" w:eastAsia="仿宋_GB2312" w:cs="仿宋_GB2312"/>
          <w:b/>
          <w:bCs/>
          <w:color w:val="auto"/>
          <w:sz w:val="32"/>
          <w:szCs w:val="32"/>
          <w:highlight w:val="none"/>
          <w:u w:val="none"/>
        </w:rPr>
      </w:pPr>
      <w:bookmarkStart w:id="239" w:name="_Toc5270"/>
      <w:bookmarkStart w:id="240" w:name="_Toc30662"/>
      <w:bookmarkStart w:id="241" w:name="_Toc3971"/>
      <w:bookmarkStart w:id="242" w:name="_Toc1139839621"/>
      <w:bookmarkStart w:id="243" w:name="_Toc3827"/>
      <w:bookmarkStart w:id="244" w:name="_Toc283090962"/>
      <w:bookmarkStart w:id="245" w:name="_Toc12991"/>
      <w:bookmarkStart w:id="246" w:name="_Toc25995"/>
      <w:bookmarkStart w:id="247" w:name="_Toc19691"/>
      <w:r>
        <w:rPr>
          <w:rFonts w:hint="eastAsia" w:ascii="仿宋_GB2312" w:hAnsi="仿宋_GB2312" w:eastAsia="仿宋_GB2312" w:cs="仿宋_GB2312"/>
          <w:b/>
          <w:bCs/>
          <w:color w:val="auto"/>
          <w:sz w:val="32"/>
          <w:szCs w:val="32"/>
          <w:highlight w:val="none"/>
          <w:u w:val="none"/>
        </w:rPr>
        <w:t>1.加强供应链创新与应用</w:t>
      </w:r>
      <w:bookmarkEnd w:id="239"/>
      <w:bookmarkEnd w:id="240"/>
      <w:bookmarkEnd w:id="241"/>
      <w:bookmarkEnd w:id="242"/>
      <w:bookmarkEnd w:id="243"/>
      <w:bookmarkEnd w:id="244"/>
      <w:bookmarkEnd w:id="245"/>
      <w:bookmarkEnd w:id="246"/>
      <w:bookmarkEnd w:id="247"/>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建设厦门供应链数字化服务平台，提供数据传输、电子合同、贸易存证、贸易溯源、质量溯源、大数据分析等即时数字化功能服务，服务供应链创新升级。实施供应链主体倍增计划，推进供应链创新与应用试点示范创建。依托地方具有自主权的各项金融资质，支持核心企业、金融机构共同开展供应链金融业务创新，支持符合条件的银行、供应链平台开展供应链票据业务。发挥厦门供应链服务优势，强化与闽西南产业链深度合作，加强闽西南在矿产资源、石化、电子、轻纺、食品等产业链合作，推进区域供应链一体化。</w:t>
      </w:r>
    </w:p>
    <w:p>
      <w:pPr>
        <w:spacing w:line="360" w:lineRule="auto"/>
        <w:ind w:firstLine="642" w:firstLineChars="200"/>
        <w:outlineLvl w:val="2"/>
        <w:rPr>
          <w:rFonts w:ascii="仿宋_GB2312" w:hAnsi="仿宋_GB2312" w:eastAsia="仿宋_GB2312" w:cs="仿宋_GB2312"/>
          <w:color w:val="auto"/>
          <w:sz w:val="32"/>
          <w:szCs w:val="32"/>
          <w:highlight w:val="none"/>
          <w:u w:val="none"/>
        </w:rPr>
      </w:pPr>
      <w:bookmarkStart w:id="248" w:name="_Toc23303"/>
      <w:bookmarkStart w:id="249" w:name="_Toc1109205295"/>
      <w:bookmarkStart w:id="250" w:name="_Toc161166076"/>
      <w:bookmarkStart w:id="251" w:name="_Toc18378"/>
      <w:bookmarkStart w:id="252" w:name="_Toc257"/>
      <w:bookmarkStart w:id="253" w:name="_Toc7208"/>
      <w:bookmarkStart w:id="254" w:name="_Toc29582"/>
      <w:bookmarkStart w:id="255" w:name="_Toc27712"/>
      <w:bookmarkStart w:id="256" w:name="_Toc31584"/>
      <w:r>
        <w:rPr>
          <w:rFonts w:hint="eastAsia" w:ascii="仿宋_GB2312" w:hAnsi="仿宋_GB2312" w:eastAsia="仿宋_GB2312" w:cs="仿宋_GB2312"/>
          <w:b/>
          <w:bCs/>
          <w:color w:val="auto"/>
          <w:sz w:val="32"/>
          <w:szCs w:val="32"/>
          <w:highlight w:val="none"/>
          <w:u w:val="none"/>
        </w:rPr>
        <w:t>2.提升特色专业服务</w:t>
      </w:r>
      <w:bookmarkEnd w:id="248"/>
      <w:r>
        <w:rPr>
          <w:rFonts w:hint="eastAsia" w:ascii="仿宋_GB2312" w:hAnsi="仿宋_GB2312" w:eastAsia="仿宋_GB2312" w:cs="仿宋_GB2312"/>
          <w:b/>
          <w:bCs/>
          <w:color w:val="auto"/>
          <w:sz w:val="32"/>
          <w:szCs w:val="32"/>
          <w:highlight w:val="none"/>
          <w:u w:val="none"/>
        </w:rPr>
        <w:t>能级</w:t>
      </w:r>
      <w:bookmarkEnd w:id="249"/>
      <w:bookmarkEnd w:id="250"/>
      <w:bookmarkEnd w:id="251"/>
      <w:bookmarkEnd w:id="252"/>
      <w:bookmarkEnd w:id="253"/>
      <w:bookmarkEnd w:id="254"/>
      <w:bookmarkEnd w:id="255"/>
      <w:bookmarkEnd w:id="256"/>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加快建设区域性金融中心，鼓励各类基金集聚，大力发展股权投资基金，完善政府引导基金体系，优化奖励扶持政策。依托海丝中央法务区，营造高能级律师、公证、鉴定等法务核心产业发展环境，支持知识产权、税收税务、会计财务等泛法务产业加快发展。优化会展举办环境，提升公安、消防、交通及餐饮等全流程保障水平，推动现有综合性展会向专业展会转型升级，建成新会展产品策源地。</w:t>
      </w:r>
    </w:p>
    <w:p>
      <w:pPr>
        <w:spacing w:line="360" w:lineRule="auto"/>
        <w:ind w:firstLine="642" w:firstLineChars="200"/>
        <w:outlineLvl w:val="2"/>
        <w:rPr>
          <w:rFonts w:ascii="方正楷体_GBK" w:hAnsi="方正楷体_GBK" w:eastAsia="方正楷体_GBK" w:cs="方正楷体_GBK"/>
          <w:b/>
          <w:bCs/>
          <w:color w:val="auto"/>
          <w:sz w:val="32"/>
          <w:szCs w:val="32"/>
          <w:highlight w:val="none"/>
          <w:u w:val="none"/>
        </w:rPr>
      </w:pPr>
      <w:bookmarkStart w:id="257" w:name="_Toc1881300585"/>
      <w:bookmarkStart w:id="258" w:name="_Toc25206"/>
      <w:bookmarkStart w:id="259" w:name="_Toc23072"/>
      <w:bookmarkStart w:id="260" w:name="_Toc31449"/>
      <w:bookmarkStart w:id="261" w:name="_Toc10115"/>
      <w:bookmarkStart w:id="262" w:name="_Toc24348"/>
      <w:bookmarkStart w:id="263" w:name="_Toc3394"/>
      <w:bookmarkStart w:id="264" w:name="_Toc6473"/>
      <w:bookmarkStart w:id="265" w:name="_Toc742270145"/>
      <w:r>
        <w:rPr>
          <w:rFonts w:hint="eastAsia" w:ascii="仿宋_GB2312" w:hAnsi="仿宋_GB2312" w:eastAsia="仿宋_GB2312" w:cs="仿宋_GB2312"/>
          <w:b/>
          <w:bCs/>
          <w:color w:val="auto"/>
          <w:sz w:val="32"/>
          <w:szCs w:val="32"/>
          <w:highlight w:val="none"/>
          <w:u w:val="none"/>
        </w:rPr>
        <w:t>3.优化消费营商环境</w:t>
      </w:r>
      <w:bookmarkEnd w:id="257"/>
      <w:bookmarkEnd w:id="258"/>
      <w:bookmarkEnd w:id="259"/>
      <w:bookmarkEnd w:id="260"/>
      <w:bookmarkEnd w:id="261"/>
      <w:bookmarkEnd w:id="262"/>
      <w:bookmarkEnd w:id="263"/>
      <w:bookmarkEnd w:id="264"/>
      <w:bookmarkEnd w:id="265"/>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优化和完善消费企业准入准营制度，优化食品经营许可证办理流程，加快推进连锁零售行业证照办理便利化改革，提高商业设施装修改造审批效率，持续改进建设工程消防验收及公众聚集场所投入使用、营业前消防安全检查（告知承诺）。完善轻微违法行为依法免予处罚制度，加强对恶意职业索赔治理。推动符合消费企业特色的改革创新，鼓励有条件的体育场馆、医院、公园、地铁、科技园区等单位引入品牌连锁便利店，规范商圈广告的办理流程和标准，规范乡村民宿准入标准和流程，优化文化演出管理。完善市场主体的信息共享机制，共享辖区内12315投诉信息与消费者维权诉讼信息，建立商事主体登记信息与诉讼纠纷信息的共享平台。规范对医美行业的共同治理。</w:t>
      </w:r>
    </w:p>
    <w:p>
      <w:pPr>
        <w:spacing w:line="360" w:lineRule="auto"/>
        <w:ind w:left="420"/>
        <w:outlineLvl w:val="1"/>
        <w:rPr>
          <w:rFonts w:ascii="方正楷体_GBK" w:hAnsi="方正楷体_GBK" w:eastAsia="方正楷体_GBK" w:cs="方正楷体_GBK"/>
          <w:b/>
          <w:bCs/>
          <w:color w:val="auto"/>
          <w:sz w:val="32"/>
          <w:szCs w:val="32"/>
          <w:highlight w:val="none"/>
          <w:u w:val="none"/>
        </w:rPr>
      </w:pPr>
      <w:bookmarkStart w:id="266" w:name="_Toc24712"/>
      <w:bookmarkStart w:id="267" w:name="_Toc15331"/>
      <w:bookmarkStart w:id="268" w:name="_Toc3125"/>
      <w:bookmarkStart w:id="269" w:name="_Toc949013553"/>
      <w:bookmarkStart w:id="270" w:name="_Toc29607"/>
      <w:bookmarkStart w:id="271" w:name="_Toc29157"/>
      <w:bookmarkStart w:id="272" w:name="_Toc31524"/>
      <w:bookmarkStart w:id="273" w:name="_Toc113012518"/>
      <w:bookmarkStart w:id="274" w:name="_Toc11080"/>
      <w:r>
        <w:rPr>
          <w:rFonts w:hint="eastAsia" w:ascii="方正楷体_GBK" w:hAnsi="方正楷体_GBK" w:eastAsia="方正楷体_GBK" w:cs="方正楷体_GBK"/>
          <w:b/>
          <w:bCs/>
          <w:color w:val="auto"/>
          <w:sz w:val="32"/>
          <w:szCs w:val="32"/>
          <w:highlight w:val="none"/>
          <w:u w:val="none"/>
        </w:rPr>
        <w:t>（三）推动双循环联通促进</w:t>
      </w:r>
      <w:bookmarkEnd w:id="266"/>
      <w:bookmarkEnd w:id="267"/>
      <w:bookmarkEnd w:id="268"/>
      <w:bookmarkEnd w:id="269"/>
      <w:bookmarkEnd w:id="270"/>
      <w:bookmarkEnd w:id="271"/>
      <w:bookmarkEnd w:id="272"/>
      <w:bookmarkEnd w:id="273"/>
      <w:bookmarkEnd w:id="274"/>
    </w:p>
    <w:p>
      <w:pPr>
        <w:spacing w:line="360" w:lineRule="auto"/>
        <w:ind w:firstLine="642" w:firstLineChars="200"/>
        <w:outlineLvl w:val="2"/>
        <w:rPr>
          <w:rFonts w:ascii="仿宋_GB2312" w:hAnsi="仿宋_GB2312" w:eastAsia="仿宋_GB2312" w:cs="仿宋_GB2312"/>
          <w:color w:val="auto"/>
          <w:sz w:val="32"/>
          <w:szCs w:val="32"/>
          <w:highlight w:val="none"/>
          <w:u w:val="none"/>
        </w:rPr>
      </w:pPr>
      <w:bookmarkStart w:id="275" w:name="_Toc14935"/>
      <w:bookmarkStart w:id="276" w:name="_Toc13286"/>
      <w:bookmarkStart w:id="277" w:name="_Toc2838"/>
      <w:bookmarkStart w:id="278" w:name="_Toc2753"/>
      <w:bookmarkStart w:id="279" w:name="_Toc8038"/>
      <w:bookmarkStart w:id="280" w:name="_Toc1158919725"/>
      <w:bookmarkStart w:id="281" w:name="_Toc22851"/>
      <w:bookmarkStart w:id="282" w:name="_Toc445915150"/>
      <w:bookmarkStart w:id="283" w:name="_Toc15478"/>
      <w:r>
        <w:rPr>
          <w:rFonts w:hint="eastAsia" w:ascii="仿宋_GB2312" w:hAnsi="仿宋_GB2312" w:eastAsia="仿宋_GB2312" w:cs="仿宋_GB2312"/>
          <w:b/>
          <w:bCs/>
          <w:color w:val="auto"/>
          <w:sz w:val="32"/>
          <w:szCs w:val="32"/>
          <w:highlight w:val="none"/>
          <w:u w:val="none"/>
        </w:rPr>
        <w:t>1.优化内外贸一体化体制机制</w:t>
      </w:r>
      <w:bookmarkEnd w:id="275"/>
      <w:bookmarkEnd w:id="276"/>
      <w:bookmarkEnd w:id="277"/>
      <w:bookmarkEnd w:id="278"/>
      <w:bookmarkEnd w:id="279"/>
      <w:bookmarkEnd w:id="280"/>
      <w:bookmarkEnd w:id="281"/>
      <w:bookmarkEnd w:id="282"/>
      <w:bookmarkEnd w:id="283"/>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深化全国内外贸一体化试点，开展内外贸产品“同线同标同质”推进行动，支持企业通过自我声明或第三方评价等方式满足“三同”要求，鼓励市场主体内外贸一体化经营，培育个性化定制、网络化协同、平台化设计、智能化制造、服务化延伸、数字化管理等新模式新业态。促进标准认证衔接，支持具备条件的检验检测认证机构从单一检测认证服务向检测项目集中、精准指导效果好的“一站式”检验检测服务发展，鼓励支持认证机构精简优化出口转内销产品强制性产品认证程序，开辟绿色通道，缩短办理时间。</w:t>
      </w:r>
    </w:p>
    <w:p>
      <w:pPr>
        <w:pStyle w:val="2"/>
        <w:spacing w:after="0" w:line="360" w:lineRule="auto"/>
        <w:ind w:firstLine="642" w:firstLineChars="200"/>
        <w:outlineLvl w:val="2"/>
        <w:rPr>
          <w:rFonts w:ascii="方正黑体_GBK" w:hAnsi="方正黑体_GBK" w:eastAsia="方正黑体_GBK" w:cs="方正黑体_GBK"/>
          <w:color w:val="auto"/>
          <w:sz w:val="32"/>
          <w:szCs w:val="32"/>
          <w:highlight w:val="none"/>
          <w:u w:val="none"/>
        </w:rPr>
      </w:pPr>
      <w:bookmarkStart w:id="284" w:name="_Toc18484"/>
      <w:bookmarkStart w:id="285" w:name="_Toc938345225"/>
      <w:bookmarkStart w:id="286" w:name="_Toc7821"/>
      <w:bookmarkStart w:id="287" w:name="_Toc28113"/>
      <w:bookmarkStart w:id="288" w:name="_Toc13823"/>
      <w:bookmarkStart w:id="289" w:name="_Toc13235"/>
      <w:bookmarkStart w:id="290" w:name="_Toc1669180673"/>
      <w:bookmarkStart w:id="291" w:name="_Toc3817"/>
      <w:bookmarkStart w:id="292" w:name="_Toc24016"/>
      <w:r>
        <w:rPr>
          <w:rFonts w:hint="eastAsia" w:ascii="仿宋_GB2312" w:hAnsi="仿宋_GB2312" w:eastAsia="仿宋_GB2312" w:cs="仿宋_GB2312"/>
          <w:b/>
          <w:bCs/>
          <w:color w:val="auto"/>
          <w:sz w:val="32"/>
          <w:szCs w:val="32"/>
          <w:highlight w:val="none"/>
          <w:u w:val="none"/>
        </w:rPr>
        <w:t>2.提升国际国内两种资源配置能力</w:t>
      </w:r>
      <w:bookmarkEnd w:id="284"/>
      <w:bookmarkEnd w:id="285"/>
      <w:bookmarkEnd w:id="286"/>
      <w:bookmarkEnd w:id="287"/>
      <w:bookmarkEnd w:id="288"/>
      <w:bookmarkEnd w:id="289"/>
      <w:bookmarkEnd w:id="290"/>
      <w:bookmarkEnd w:id="291"/>
      <w:bookmarkEnd w:id="292"/>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rPr>
        <w:t>打造国际化航空航运枢纽，争取国家支持拓展运用第五航权，开展厦门航空资源结构化改革试点。提升金融市场国际化水平，</w:t>
      </w:r>
      <w:r>
        <w:rPr>
          <w:rFonts w:hint="eastAsia" w:ascii="仿宋_GB2312" w:hAnsi="仿宋_GB2312" w:eastAsia="仿宋_GB2312" w:cs="仿宋_GB2312"/>
          <w:color w:val="auto"/>
          <w:sz w:val="32"/>
          <w:szCs w:val="32"/>
          <w:highlight w:val="none"/>
          <w:u w:val="none"/>
          <w:lang w:eastAsia="zh-CN"/>
        </w:rPr>
        <w:t>促进跨境贸易投融资便利化</w:t>
      </w:r>
      <w:r>
        <w:rPr>
          <w:rFonts w:hint="eastAsia" w:ascii="仿宋_GB2312" w:hAnsi="仿宋_GB2312" w:eastAsia="仿宋_GB2312" w:cs="仿宋_GB2312"/>
          <w:color w:val="auto"/>
          <w:sz w:val="32"/>
          <w:szCs w:val="32"/>
          <w:highlight w:val="none"/>
          <w:u w:val="none"/>
        </w:rPr>
        <w:t>，对跨境资金流动实施双向宏观审慎管理，打造国际性REITs市场，鼓励合格境外投资者通过QFII、RQFII等参与基础设施REITs产品投资。强化境内外人力资源配置，全面梳理境外含金量高的职业资格，建立符合我市需求的国际职业资格证书认可目录，持有相关职业资格的国际专业人员在厦门备案登记后即可提供相关专业服务；推行外国高端人才工作许可省内互认；推进国际职业资格与职称的有效衔接。完善科技创新资源配置方式，支持厦门科学城先行先试改革创新举措，</w:t>
      </w:r>
      <w:r>
        <w:rPr>
          <w:rFonts w:hint="eastAsia" w:ascii="仿宋_GB2312" w:eastAsia="仿宋_GB2312"/>
          <w:color w:val="auto"/>
          <w:kern w:val="0"/>
          <w:sz w:val="32"/>
          <w:szCs w:val="32"/>
          <w:highlight w:val="none"/>
          <w:u w:val="none"/>
        </w:rPr>
        <w:t>探索实施科研物资等创新要素跨境便利流动政策</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rPr>
        <w:t>推动外籍科学家领衔承担政府支持科技项目，在形式审查、立项评审等各个环节对申报项目的不同国籍人员一视同仁。</w:t>
      </w:r>
      <w:r>
        <w:rPr>
          <w:rFonts w:hint="eastAsia" w:ascii="仿宋_GB2312" w:hAnsi="仿宋_GB2312" w:eastAsia="仿宋_GB2312" w:cs="仿宋_GB2312"/>
          <w:color w:val="auto"/>
          <w:sz w:val="32"/>
          <w:szCs w:val="32"/>
          <w:highlight w:val="none"/>
          <w:u w:val="none"/>
        </w:rPr>
        <w:t>探索数据开放和交易，有序开放公共管理和服务机构产生的部分公共数据，开展数据确权探索，建设数据交易</w:t>
      </w:r>
      <w:r>
        <w:rPr>
          <w:rFonts w:hint="eastAsia" w:ascii="仿宋_GB2312" w:hAnsi="仿宋_GB2312" w:eastAsia="仿宋_GB2312" w:cs="仿宋_GB2312"/>
          <w:color w:val="auto"/>
          <w:sz w:val="32"/>
          <w:szCs w:val="32"/>
          <w:highlight w:val="none"/>
          <w:u w:val="none"/>
          <w:lang w:eastAsia="zh-CN"/>
        </w:rPr>
        <w:t>场</w:t>
      </w:r>
      <w:r>
        <w:rPr>
          <w:rFonts w:hint="eastAsia" w:ascii="仿宋_GB2312" w:hAnsi="仿宋_GB2312" w:eastAsia="仿宋_GB2312" w:cs="仿宋_GB2312"/>
          <w:color w:val="auto"/>
          <w:sz w:val="32"/>
          <w:szCs w:val="32"/>
          <w:highlight w:val="none"/>
          <w:u w:val="none"/>
        </w:rPr>
        <w:t>所，探索建立多部门协同的对交易</w:t>
      </w:r>
      <w:r>
        <w:rPr>
          <w:rFonts w:hint="eastAsia" w:ascii="仿宋_GB2312" w:hAnsi="仿宋_GB2312" w:eastAsia="仿宋_GB2312" w:cs="仿宋_GB2312"/>
          <w:color w:val="auto"/>
          <w:sz w:val="32"/>
          <w:szCs w:val="32"/>
          <w:highlight w:val="none"/>
          <w:u w:val="none"/>
          <w:lang w:eastAsia="zh-CN"/>
        </w:rPr>
        <w:t>场</w:t>
      </w:r>
      <w:r>
        <w:rPr>
          <w:rFonts w:hint="eastAsia" w:ascii="仿宋_GB2312" w:hAnsi="仿宋_GB2312" w:eastAsia="仿宋_GB2312" w:cs="仿宋_GB2312"/>
          <w:color w:val="auto"/>
          <w:sz w:val="32"/>
          <w:szCs w:val="32"/>
          <w:highlight w:val="none"/>
          <w:u w:val="none"/>
        </w:rPr>
        <w:t>所内数据交易的监管机制。</w:t>
      </w:r>
    </w:p>
    <w:p>
      <w:pPr>
        <w:spacing w:line="360" w:lineRule="auto"/>
        <w:ind w:firstLine="640" w:firstLineChars="200"/>
        <w:outlineLvl w:val="0"/>
        <w:rPr>
          <w:rFonts w:ascii="方正黑体_GBK" w:hAnsi="方正黑体_GBK" w:eastAsia="方正黑体_GBK" w:cs="方正黑体_GBK"/>
          <w:color w:val="auto"/>
          <w:sz w:val="32"/>
          <w:szCs w:val="32"/>
          <w:highlight w:val="none"/>
          <w:u w:val="none"/>
        </w:rPr>
      </w:pPr>
      <w:bookmarkStart w:id="293" w:name="_Toc2146939841"/>
      <w:bookmarkStart w:id="294" w:name="_Toc27955"/>
      <w:bookmarkStart w:id="295" w:name="_Toc1563128932"/>
      <w:bookmarkStart w:id="296" w:name="_Toc27946"/>
      <w:bookmarkStart w:id="297" w:name="_Toc13845"/>
      <w:bookmarkStart w:id="298" w:name="_Toc1706"/>
      <w:bookmarkStart w:id="299" w:name="_Toc27325"/>
      <w:bookmarkStart w:id="300" w:name="_Toc18173"/>
      <w:bookmarkStart w:id="301" w:name="_Toc22935"/>
      <w:r>
        <w:rPr>
          <w:rFonts w:hint="eastAsia" w:ascii="方正黑体_GBK" w:hAnsi="方正黑体_GBK" w:eastAsia="方正黑体_GBK" w:cs="方正黑体_GBK"/>
          <w:color w:val="auto"/>
          <w:sz w:val="32"/>
          <w:szCs w:val="32"/>
          <w:highlight w:val="none"/>
          <w:u w:val="none"/>
        </w:rPr>
        <w:t>四、强化区域先行先试，</w:t>
      </w:r>
      <w:bookmarkEnd w:id="293"/>
      <w:bookmarkEnd w:id="294"/>
      <w:r>
        <w:rPr>
          <w:rFonts w:hint="eastAsia" w:ascii="方正黑体_GBK" w:hAnsi="方正黑体_GBK" w:eastAsia="方正黑体_GBK" w:cs="方正黑体_GBK"/>
          <w:color w:val="auto"/>
          <w:sz w:val="32"/>
          <w:szCs w:val="32"/>
          <w:highlight w:val="none"/>
          <w:u w:val="none"/>
        </w:rPr>
        <w:t>构建全域创新新优势</w:t>
      </w:r>
      <w:bookmarkEnd w:id="295"/>
      <w:bookmarkEnd w:id="296"/>
      <w:bookmarkEnd w:id="297"/>
      <w:bookmarkEnd w:id="298"/>
      <w:bookmarkEnd w:id="299"/>
      <w:bookmarkEnd w:id="300"/>
      <w:bookmarkEnd w:id="301"/>
    </w:p>
    <w:p>
      <w:pPr>
        <w:spacing w:line="360" w:lineRule="auto"/>
        <w:ind w:firstLine="642" w:firstLineChars="200"/>
        <w:outlineLvl w:val="1"/>
        <w:rPr>
          <w:rFonts w:ascii="方正楷体_GBK" w:hAnsi="方正楷体_GBK" w:eastAsia="方正楷体_GBK" w:cs="方正楷体_GBK"/>
          <w:b/>
          <w:bCs/>
          <w:color w:val="auto"/>
          <w:sz w:val="32"/>
          <w:szCs w:val="32"/>
          <w:highlight w:val="none"/>
          <w:u w:val="none"/>
        </w:rPr>
      </w:pPr>
      <w:bookmarkStart w:id="302" w:name="_Toc23273"/>
      <w:bookmarkStart w:id="303" w:name="_Toc353879144"/>
      <w:bookmarkStart w:id="304" w:name="_Toc709272440"/>
      <w:bookmarkStart w:id="305" w:name="_Toc4960"/>
      <w:bookmarkStart w:id="306" w:name="_Toc20570"/>
      <w:bookmarkStart w:id="307" w:name="_Toc19607"/>
      <w:bookmarkStart w:id="308" w:name="_Toc10553"/>
      <w:bookmarkStart w:id="309" w:name="_Toc26180"/>
      <w:bookmarkStart w:id="310" w:name="_Toc29352"/>
      <w:r>
        <w:rPr>
          <w:rFonts w:hint="eastAsia" w:ascii="方正楷体_GBK" w:hAnsi="方正楷体_GBK" w:eastAsia="方正楷体_GBK" w:cs="方正楷体_GBK"/>
          <w:b/>
          <w:bCs/>
          <w:color w:val="auto"/>
          <w:sz w:val="32"/>
          <w:szCs w:val="32"/>
          <w:highlight w:val="none"/>
          <w:u w:val="none"/>
        </w:rPr>
        <w:t>（一）自贸试验区打造开放创新高地</w:t>
      </w:r>
      <w:bookmarkEnd w:id="302"/>
      <w:bookmarkEnd w:id="303"/>
      <w:bookmarkEnd w:id="304"/>
      <w:bookmarkEnd w:id="305"/>
      <w:bookmarkEnd w:id="306"/>
      <w:bookmarkEnd w:id="307"/>
      <w:bookmarkEnd w:id="308"/>
      <w:bookmarkEnd w:id="309"/>
      <w:bookmarkEnd w:id="310"/>
    </w:p>
    <w:p>
      <w:pPr>
        <w:spacing w:line="360" w:lineRule="auto"/>
        <w:ind w:firstLine="640" w:firstLineChars="200"/>
        <w:rPr>
          <w:rFonts w:eastAsia="仿宋_GB2312"/>
          <w:color w:val="auto"/>
          <w:highlight w:val="none"/>
          <w:u w:val="none"/>
        </w:rPr>
      </w:pPr>
      <w:r>
        <w:rPr>
          <w:rFonts w:hint="eastAsia" w:ascii="仿宋_GB2312" w:hAnsi="仿宋_GB2312" w:eastAsia="仿宋_GB2312" w:cs="仿宋_GB2312"/>
          <w:color w:val="auto"/>
          <w:sz w:val="32"/>
          <w:szCs w:val="32"/>
          <w:highlight w:val="none"/>
          <w:u w:val="none"/>
        </w:rPr>
        <w:t>加快数字自贸区建设，推动在贸易、供应链数字化领域的创新应用，推出“重点数字场景合作伙伴计划”。持续深化国际贸易“单一窗口”建设，为企业提供通关物流信息查询</w:t>
      </w:r>
      <w:r>
        <w:rPr>
          <w:rFonts w:hint="eastAsia" w:ascii="仿宋_GB2312" w:hAnsi="仿宋_GB2312" w:eastAsia="仿宋_GB2312" w:cs="仿宋_GB2312"/>
          <w:color w:val="auto"/>
          <w:sz w:val="32"/>
          <w:szCs w:val="32"/>
          <w:highlight w:val="none"/>
          <w:u w:val="none"/>
          <w:lang w:eastAsia="zh-Hans"/>
        </w:rPr>
        <w:t>和精准</w:t>
      </w:r>
      <w:r>
        <w:rPr>
          <w:rFonts w:hint="eastAsia" w:ascii="仿宋_GB2312" w:hAnsi="仿宋_GB2312" w:eastAsia="仿宋_GB2312" w:cs="仿宋_GB2312"/>
          <w:color w:val="auto"/>
          <w:sz w:val="32"/>
          <w:szCs w:val="32"/>
          <w:highlight w:val="none"/>
          <w:u w:val="none"/>
        </w:rPr>
        <w:t>推送服务。建设厦门自贸法务先行区，建成国际法务运营平台，创建一批优质“互联网+法律服务”项目，做强“互联网+公证”特色法律服务品牌，探索建立为新产业、新业态、新经济服务新型法务服务模式，打造一流法务集聚区和涉外商事海事争端解决优选地。加快知识产权服务集聚区建设，重点建设集专利应用场景、会展和交易“三位一体”的知识产权综合服务平台，打造厦门知识产权CBD。</w:t>
      </w:r>
    </w:p>
    <w:p>
      <w:pPr>
        <w:spacing w:line="360" w:lineRule="auto"/>
        <w:ind w:firstLine="642" w:firstLineChars="200"/>
        <w:outlineLvl w:val="1"/>
        <w:rPr>
          <w:rFonts w:ascii="方正楷体_GBK" w:hAnsi="方正楷体_GBK" w:eastAsia="方正楷体_GBK" w:cs="方正楷体_GBK"/>
          <w:b/>
          <w:bCs/>
          <w:color w:val="auto"/>
          <w:sz w:val="32"/>
          <w:szCs w:val="32"/>
          <w:highlight w:val="none"/>
          <w:u w:val="none"/>
        </w:rPr>
      </w:pPr>
      <w:bookmarkStart w:id="311" w:name="_Toc1160984778"/>
      <w:bookmarkStart w:id="312" w:name="_Toc8407"/>
      <w:bookmarkStart w:id="313" w:name="_Toc31147"/>
      <w:bookmarkStart w:id="314" w:name="_Toc31938"/>
      <w:bookmarkStart w:id="315" w:name="_Toc316"/>
      <w:bookmarkStart w:id="316" w:name="_Toc4130"/>
      <w:bookmarkStart w:id="317" w:name="_Toc8928"/>
      <w:bookmarkStart w:id="318" w:name="_Toc449640820"/>
      <w:bookmarkStart w:id="319" w:name="_Toc24088"/>
      <w:r>
        <w:rPr>
          <w:rFonts w:hint="eastAsia" w:ascii="方正楷体_GBK" w:hAnsi="方正楷体_GBK" w:eastAsia="方正楷体_GBK" w:cs="方正楷体_GBK"/>
          <w:b/>
          <w:bCs/>
          <w:color w:val="auto"/>
          <w:sz w:val="32"/>
          <w:szCs w:val="32"/>
          <w:highlight w:val="none"/>
          <w:u w:val="none"/>
        </w:rPr>
        <w:t>（二）火炬高新区打造科技创新</w:t>
      </w:r>
      <w:bookmarkEnd w:id="311"/>
      <w:bookmarkEnd w:id="312"/>
      <w:bookmarkEnd w:id="313"/>
      <w:bookmarkEnd w:id="314"/>
      <w:r>
        <w:rPr>
          <w:rFonts w:hint="eastAsia" w:ascii="方正楷体_GBK" w:hAnsi="方正楷体_GBK" w:eastAsia="方正楷体_GBK" w:cs="方正楷体_GBK"/>
          <w:b/>
          <w:bCs/>
          <w:color w:val="auto"/>
          <w:sz w:val="32"/>
          <w:szCs w:val="32"/>
          <w:highlight w:val="none"/>
          <w:u w:val="none"/>
        </w:rPr>
        <w:t>高地</w:t>
      </w:r>
      <w:bookmarkEnd w:id="315"/>
      <w:bookmarkEnd w:id="316"/>
      <w:bookmarkEnd w:id="317"/>
      <w:bookmarkEnd w:id="318"/>
      <w:bookmarkEnd w:id="319"/>
    </w:p>
    <w:p>
      <w:pPr>
        <w:spacing w:line="360" w:lineRule="auto"/>
        <w:ind w:firstLine="640" w:firstLineChars="200"/>
        <w:rPr>
          <w:b/>
          <w:bCs/>
          <w:color w:val="auto"/>
          <w:highlight w:val="none"/>
          <w:u w:val="none"/>
        </w:rPr>
      </w:pPr>
      <w:r>
        <w:rPr>
          <w:rFonts w:hint="eastAsia" w:ascii="仿宋_GB2312" w:hAnsi="仿宋_GB2312" w:eastAsia="仿宋_GB2312" w:cs="仿宋_GB2312"/>
          <w:color w:val="auto"/>
          <w:sz w:val="32"/>
          <w:szCs w:val="32"/>
          <w:highlight w:val="none"/>
          <w:u w:val="none"/>
        </w:rPr>
        <w:t>以国家自主创新示范区、国家双创示范基地建设为统揽，集聚一批优质创新资源、布局一批高能级研发机构，为园区企业创新赋能。建设金砖国家新工业革命伙伴关系创新基地核心区，打造一批科技孵化、公共创新平台、金融服务、人才培训交流等示范性项目。紧盯未来产业发展需求，探索政府、科研机构、企业共建市场化运营的公共技术服务平台，推进产业关键环节的技术研发和产业化。以高新区企业共性问题和企业创新升级需求为出发点，探索进一步优化提升高新区政策体系。推进国家级知识产权强国建设试点园区建设，引导企业开展知识产权高质量创造和运用。</w:t>
      </w:r>
    </w:p>
    <w:p>
      <w:pPr>
        <w:spacing w:line="360" w:lineRule="auto"/>
        <w:ind w:firstLine="642" w:firstLineChars="200"/>
        <w:outlineLvl w:val="1"/>
        <w:rPr>
          <w:rFonts w:ascii="方正楷体_GBK" w:hAnsi="方正楷体_GBK" w:eastAsia="方正楷体_GBK" w:cs="方正楷体_GBK"/>
          <w:b/>
          <w:bCs/>
          <w:color w:val="auto"/>
          <w:sz w:val="32"/>
          <w:szCs w:val="32"/>
          <w:highlight w:val="none"/>
          <w:u w:val="none"/>
        </w:rPr>
      </w:pPr>
      <w:bookmarkStart w:id="320" w:name="_Toc1407662270"/>
      <w:bookmarkStart w:id="321" w:name="_Toc1375"/>
      <w:bookmarkStart w:id="322" w:name="_Toc12045"/>
      <w:bookmarkStart w:id="323" w:name="_Toc16747"/>
      <w:bookmarkStart w:id="324" w:name="_Toc32115"/>
      <w:bookmarkStart w:id="325" w:name="_Toc22046"/>
      <w:bookmarkStart w:id="326" w:name="_Toc1671545585"/>
      <w:bookmarkStart w:id="327" w:name="_Toc24918"/>
      <w:bookmarkStart w:id="328" w:name="_Toc24695"/>
      <w:r>
        <w:rPr>
          <w:rFonts w:hint="eastAsia" w:ascii="方正楷体_GBK" w:hAnsi="方正楷体_GBK" w:eastAsia="方正楷体_GBK" w:cs="方正楷体_GBK"/>
          <w:b/>
          <w:bCs/>
          <w:color w:val="auto"/>
          <w:sz w:val="32"/>
          <w:szCs w:val="32"/>
          <w:highlight w:val="none"/>
          <w:u w:val="none"/>
        </w:rPr>
        <w:t>（三）辖内六区打造各具特色营商环境</w:t>
      </w:r>
      <w:bookmarkEnd w:id="320"/>
      <w:bookmarkEnd w:id="321"/>
      <w:bookmarkEnd w:id="322"/>
      <w:bookmarkEnd w:id="323"/>
      <w:bookmarkEnd w:id="324"/>
      <w:bookmarkEnd w:id="325"/>
      <w:bookmarkEnd w:id="326"/>
      <w:bookmarkEnd w:id="327"/>
      <w:bookmarkEnd w:id="328"/>
    </w:p>
    <w:p>
      <w:pPr>
        <w:spacing w:line="360" w:lineRule="auto"/>
        <w:ind w:firstLine="642" w:firstLineChars="200"/>
        <w:rPr>
          <w:rFonts w:ascii="仿宋_GB2312" w:hAnsi="仿宋_GB2312" w:eastAsia="仿宋_GB2312" w:cs="仿宋_GB2312"/>
          <w:b/>
          <w:bCs/>
          <w:color w:val="auto"/>
          <w:kern w:val="0"/>
          <w:sz w:val="32"/>
          <w:szCs w:val="32"/>
          <w:highlight w:val="none"/>
          <w:u w:val="none"/>
          <w:lang w:bidi="ar"/>
        </w:rPr>
      </w:pPr>
      <w:r>
        <w:rPr>
          <w:rFonts w:hint="eastAsia" w:ascii="仿宋_GB2312" w:hAnsi="仿宋_GB2312" w:eastAsia="仿宋_GB2312" w:cs="仿宋_GB2312"/>
          <w:b/>
          <w:bCs/>
          <w:color w:val="auto"/>
          <w:sz w:val="32"/>
          <w:szCs w:val="32"/>
          <w:highlight w:val="none"/>
          <w:u w:val="none"/>
        </w:rPr>
        <w:t>思明区</w:t>
      </w:r>
      <w:r>
        <w:rPr>
          <w:rFonts w:hint="eastAsia" w:ascii="仿宋_GB2312" w:hAnsi="仿宋_GB2312" w:eastAsia="仿宋_GB2312" w:cs="仿宋_GB2312"/>
          <w:color w:val="auto"/>
          <w:sz w:val="32"/>
          <w:szCs w:val="32"/>
          <w:highlight w:val="none"/>
          <w:u w:val="none"/>
        </w:rPr>
        <w:t>打造全省营商环境“首善之区”，进一步优化CSO首席服务官机制，提升总部经济和软件信息服务、金融服务、商贸服务、文旅创意等重点产业能级，做强海丝中央法务区思明示范区，加快“智慧思明”建设，更加凸显中心城区的主力军担当。</w:t>
      </w:r>
      <w:r>
        <w:rPr>
          <w:rFonts w:hint="eastAsia" w:ascii="仿宋_GB2312" w:hAnsi="仿宋_GB2312" w:eastAsia="仿宋_GB2312" w:cs="仿宋_GB2312"/>
          <w:b/>
          <w:bCs/>
          <w:color w:val="auto"/>
          <w:sz w:val="32"/>
          <w:szCs w:val="32"/>
          <w:highlight w:val="none"/>
          <w:u w:val="none"/>
        </w:rPr>
        <w:t>湖里区</w:t>
      </w:r>
      <w:r>
        <w:rPr>
          <w:rFonts w:hint="eastAsia" w:ascii="仿宋_GB2312" w:hAnsi="仿宋_GB2312" w:eastAsia="仿宋_GB2312" w:cs="仿宋_GB2312"/>
          <w:color w:val="auto"/>
          <w:kern w:val="0"/>
          <w:sz w:val="32"/>
          <w:szCs w:val="32"/>
          <w:highlight w:val="none"/>
          <w:u w:val="none"/>
          <w:lang w:bidi="ar"/>
        </w:rPr>
        <w:t>打造</w:t>
      </w:r>
      <w:r>
        <w:rPr>
          <w:rFonts w:hint="eastAsia" w:ascii="仿宋_GB2312" w:hAnsi="仿宋_GB2312" w:eastAsia="仿宋_GB2312" w:cs="仿宋_GB2312"/>
          <w:color w:val="auto"/>
          <w:sz w:val="32"/>
          <w:szCs w:val="32"/>
          <w:highlight w:val="none"/>
          <w:u w:val="none"/>
        </w:rPr>
        <w:t>“亲清</w:t>
      </w:r>
      <w:r>
        <w:rPr>
          <w:rFonts w:ascii="仿宋_GB2312" w:hAnsi="仿宋_GB2312" w:eastAsia="仿宋_GB2312" w:cs="仿宋_GB2312"/>
          <w:color w:val="auto"/>
          <w:sz w:val="32"/>
          <w:szCs w:val="32"/>
          <w:highlight w:val="none"/>
          <w:u w:val="none"/>
        </w:rPr>
        <w:t>一家人</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kern w:val="0"/>
          <w:sz w:val="32"/>
          <w:szCs w:val="32"/>
          <w:highlight w:val="none"/>
          <w:u w:val="none"/>
          <w:lang w:bidi="ar"/>
        </w:rPr>
        <w:t>营商品牌，构建“企业主管+街道+园区+专业服务”模式，帮助“双招双引”项目解决落地后遇到的发展难题，在城市更新营商环境做示范。</w:t>
      </w:r>
      <w:r>
        <w:rPr>
          <w:rFonts w:hint="eastAsia" w:ascii="仿宋_GB2312" w:hAnsi="仿宋_GB2312" w:eastAsia="仿宋_GB2312" w:cs="仿宋_GB2312"/>
          <w:b/>
          <w:bCs/>
          <w:color w:val="auto"/>
          <w:sz w:val="32"/>
          <w:szCs w:val="32"/>
          <w:highlight w:val="none"/>
          <w:u w:val="none"/>
        </w:rPr>
        <w:t>海沧区</w:t>
      </w:r>
      <w:r>
        <w:rPr>
          <w:rFonts w:hint="eastAsia" w:ascii="仿宋_GB2312" w:hAnsi="仿宋_GB2312" w:eastAsia="仿宋_GB2312" w:cs="仿宋_GB2312"/>
          <w:color w:val="auto"/>
          <w:kern w:val="0"/>
          <w:sz w:val="32"/>
          <w:szCs w:val="32"/>
          <w:highlight w:val="none"/>
          <w:u w:val="none"/>
          <w:lang w:bidi="ar"/>
        </w:rPr>
        <w:t>围绕建设国家级生物医药产业集群核心区，加强知识产权司法保护，加大金融和公共技术服务平台支持力度，强化惠企政策落地见效，集聚创新要素，打造战略新兴产业一流营商环境标杆。</w:t>
      </w:r>
      <w:r>
        <w:rPr>
          <w:rFonts w:hint="eastAsia" w:ascii="仿宋_GB2312" w:hAnsi="仿宋_GB2312" w:eastAsia="仿宋_GB2312" w:cs="仿宋_GB2312"/>
          <w:b/>
          <w:bCs/>
          <w:color w:val="auto"/>
          <w:sz w:val="32"/>
          <w:szCs w:val="32"/>
          <w:highlight w:val="none"/>
          <w:u w:val="none"/>
        </w:rPr>
        <w:t>集美区</w:t>
      </w:r>
      <w:r>
        <w:rPr>
          <w:rFonts w:hint="eastAsia" w:ascii="仿宋_GB2312" w:hAnsi="仿宋_GB2312" w:eastAsia="仿宋_GB2312" w:cs="仿宋_GB2312"/>
          <w:color w:val="auto"/>
          <w:sz w:val="32"/>
          <w:szCs w:val="32"/>
          <w:highlight w:val="none"/>
          <w:u w:val="none"/>
        </w:rPr>
        <w:t>持续</w:t>
      </w:r>
      <w:r>
        <w:rPr>
          <w:rFonts w:hint="eastAsia" w:ascii="仿宋_GB2312" w:hAnsi="仿宋_GB2312" w:eastAsia="仿宋_GB2312" w:cs="仿宋_GB2312"/>
          <w:color w:val="auto"/>
          <w:kern w:val="0"/>
          <w:sz w:val="32"/>
          <w:szCs w:val="32"/>
          <w:highlight w:val="none"/>
          <w:u w:val="none"/>
          <w:lang w:bidi="ar"/>
        </w:rPr>
        <w:t>擦亮“阿集帮办”政务品牌，通过两岸创新试验平台支持台企做强做大，进一步扩大台胞同等化待遇范围，完善台胞管理便利化服务，引领两岸营商环境融合。</w:t>
      </w:r>
      <w:r>
        <w:rPr>
          <w:rFonts w:hint="eastAsia" w:ascii="仿宋_GB2312" w:hAnsi="仿宋_GB2312" w:eastAsia="仿宋_GB2312" w:cs="仿宋_GB2312"/>
          <w:b/>
          <w:bCs/>
          <w:color w:val="auto"/>
          <w:sz w:val="32"/>
          <w:szCs w:val="32"/>
          <w:highlight w:val="none"/>
          <w:u w:val="none"/>
        </w:rPr>
        <w:t>同安区</w:t>
      </w:r>
      <w:r>
        <w:rPr>
          <w:rFonts w:hint="eastAsia" w:ascii="仿宋_GB2312" w:hAnsi="仿宋_GB2312" w:eastAsia="仿宋_GB2312" w:cs="仿宋_GB2312"/>
          <w:color w:val="auto"/>
          <w:kern w:val="0"/>
          <w:sz w:val="32"/>
          <w:szCs w:val="32"/>
          <w:highlight w:val="none"/>
          <w:u w:val="none"/>
          <w:lang w:bidi="ar"/>
        </w:rPr>
        <w:t>依托“同企云”平台搭建具有惠企政策、银企对接、产品展示、诉求处理反馈等综合服务功能的企业服务信息平台，推动营商环境提质增效；全力打造“全馨办”投资项目帮办服务品牌，助力项目早开工、早竣工、早投产。</w:t>
      </w:r>
      <w:r>
        <w:rPr>
          <w:rFonts w:hint="eastAsia" w:ascii="仿宋_GB2312" w:hAnsi="仿宋_GB2312" w:eastAsia="仿宋_GB2312" w:cs="仿宋_GB2312"/>
          <w:b/>
          <w:bCs/>
          <w:color w:val="auto"/>
          <w:sz w:val="32"/>
          <w:szCs w:val="32"/>
          <w:highlight w:val="none"/>
          <w:u w:val="none"/>
        </w:rPr>
        <w:t>翔安区</w:t>
      </w:r>
      <w:r>
        <w:rPr>
          <w:rFonts w:hint="eastAsia" w:ascii="仿宋_GB2312" w:hAnsi="仿宋_GB2312" w:eastAsia="仿宋_GB2312" w:cs="仿宋_GB2312"/>
          <w:color w:val="auto"/>
          <w:kern w:val="0"/>
          <w:sz w:val="32"/>
          <w:szCs w:val="32"/>
          <w:highlight w:val="none"/>
          <w:u w:val="none"/>
          <w:lang w:bidi="ar"/>
        </w:rPr>
        <w:t>打造相对集中行政许可权改革试点工作示范区，实现政务服务集成高效，审批权力规范运行，审批监管协同联动；优化“审批服务E站”，实现政务服务“园区办”助力企业办事不出园区。</w:t>
      </w:r>
    </w:p>
    <w:p>
      <w:pPr>
        <w:spacing w:line="360" w:lineRule="auto"/>
        <w:ind w:firstLine="640" w:firstLineChars="200"/>
        <w:outlineLvl w:val="0"/>
        <w:rPr>
          <w:rFonts w:ascii="方正楷体_GBK" w:hAnsi="方正楷体_GBK" w:eastAsia="方正楷体_GBK" w:cs="方正楷体_GBK"/>
          <w:color w:val="auto"/>
          <w:sz w:val="32"/>
          <w:szCs w:val="32"/>
          <w:highlight w:val="none"/>
          <w:u w:val="none"/>
        </w:rPr>
      </w:pPr>
      <w:bookmarkStart w:id="329" w:name="_Toc32404"/>
      <w:bookmarkStart w:id="330" w:name="_Toc1984235565"/>
      <w:bookmarkStart w:id="331" w:name="_Toc11182"/>
      <w:bookmarkStart w:id="332" w:name="_Toc15224"/>
      <w:bookmarkStart w:id="333" w:name="_Toc8339"/>
      <w:bookmarkStart w:id="334" w:name="_Toc14877"/>
      <w:bookmarkStart w:id="335" w:name="_Toc16560"/>
      <w:bookmarkStart w:id="336" w:name="_Toc6582"/>
      <w:bookmarkStart w:id="337" w:name="_Toc1151493754"/>
      <w:r>
        <w:rPr>
          <w:rFonts w:hint="eastAsia" w:ascii="方正黑体_GBK" w:hAnsi="方正黑体_GBK" w:eastAsia="方正黑体_GBK" w:cs="方正黑体_GBK"/>
          <w:color w:val="auto"/>
          <w:sz w:val="32"/>
          <w:szCs w:val="32"/>
          <w:highlight w:val="none"/>
          <w:u w:val="none"/>
        </w:rPr>
        <w:t>五、完善</w:t>
      </w:r>
      <w:bookmarkEnd w:id="329"/>
      <w:bookmarkEnd w:id="330"/>
      <w:bookmarkEnd w:id="331"/>
      <w:r>
        <w:rPr>
          <w:rFonts w:hint="eastAsia" w:ascii="方正黑体_GBK" w:hAnsi="方正黑体_GBK" w:eastAsia="方正黑体_GBK" w:cs="方正黑体_GBK"/>
          <w:color w:val="auto"/>
          <w:sz w:val="32"/>
          <w:szCs w:val="32"/>
          <w:highlight w:val="none"/>
          <w:u w:val="none"/>
        </w:rPr>
        <w:t>推进机制，确保任务落地</w:t>
      </w:r>
      <w:bookmarkEnd w:id="332"/>
      <w:bookmarkEnd w:id="333"/>
      <w:bookmarkEnd w:id="334"/>
      <w:bookmarkEnd w:id="335"/>
      <w:bookmarkEnd w:id="336"/>
      <w:r>
        <w:rPr>
          <w:rFonts w:hint="eastAsia" w:ascii="方正黑体_GBK" w:hAnsi="方正黑体_GBK" w:eastAsia="方正黑体_GBK" w:cs="方正黑体_GBK"/>
          <w:color w:val="auto"/>
          <w:sz w:val="32"/>
          <w:szCs w:val="32"/>
          <w:highlight w:val="none"/>
          <w:u w:val="none"/>
        </w:rPr>
        <w:t>落实</w:t>
      </w:r>
      <w:bookmarkEnd w:id="337"/>
    </w:p>
    <w:p>
      <w:pPr>
        <w:spacing w:line="360" w:lineRule="auto"/>
        <w:ind w:firstLine="642" w:firstLineChars="200"/>
        <w:outlineLvl w:val="1"/>
        <w:rPr>
          <w:rFonts w:ascii="方正楷体_GBK" w:hAnsi="方正楷体_GBK" w:eastAsia="方正楷体_GBK" w:cs="方正楷体_GBK"/>
          <w:b/>
          <w:bCs/>
          <w:color w:val="auto"/>
          <w:sz w:val="32"/>
          <w:szCs w:val="32"/>
          <w:highlight w:val="none"/>
          <w:u w:val="none"/>
        </w:rPr>
      </w:pPr>
      <w:bookmarkStart w:id="338" w:name="_Toc1186921085"/>
      <w:bookmarkStart w:id="339" w:name="_Toc5179"/>
      <w:bookmarkStart w:id="340" w:name="_Toc29909"/>
      <w:bookmarkStart w:id="341" w:name="_Toc1027099489"/>
      <w:bookmarkStart w:id="342" w:name="_Toc1039"/>
      <w:bookmarkStart w:id="343" w:name="_Toc14443"/>
      <w:bookmarkStart w:id="344" w:name="_Toc8692"/>
      <w:bookmarkStart w:id="345" w:name="_Toc13210"/>
      <w:bookmarkStart w:id="346" w:name="_Toc28100"/>
      <w:r>
        <w:rPr>
          <w:rFonts w:hint="eastAsia" w:ascii="方正楷体_GBK" w:hAnsi="方正楷体_GBK" w:eastAsia="方正楷体_GBK" w:cs="方正楷体_GBK"/>
          <w:b/>
          <w:bCs/>
          <w:color w:val="auto"/>
          <w:sz w:val="32"/>
          <w:szCs w:val="32"/>
          <w:highlight w:val="none"/>
          <w:u w:val="none"/>
        </w:rPr>
        <w:t>（一）强化营商环境全链条创新机制</w:t>
      </w:r>
      <w:bookmarkEnd w:id="338"/>
      <w:bookmarkEnd w:id="339"/>
      <w:bookmarkEnd w:id="340"/>
      <w:bookmarkEnd w:id="341"/>
      <w:bookmarkEnd w:id="342"/>
      <w:bookmarkEnd w:id="343"/>
      <w:bookmarkEnd w:id="344"/>
      <w:bookmarkEnd w:id="345"/>
      <w:bookmarkEnd w:id="346"/>
    </w:p>
    <w:p>
      <w:pPr>
        <w:pStyle w:val="2"/>
        <w:spacing w:after="0" w:line="360" w:lineRule="auto"/>
        <w:ind w:firstLine="640" w:firstLineChars="200"/>
        <w:rPr>
          <w:rFonts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color w:val="auto"/>
          <w:sz w:val="32"/>
          <w:szCs w:val="32"/>
          <w:highlight w:val="none"/>
          <w:u w:val="none"/>
        </w:rPr>
        <w:t>充分发挥全市营商环境研究智库、体验官、专家咨询委员的参谋作用，开展重大前瞻性课题研究，加快成果转化，提升营商环境创新策源能力。完善营商环境改进提升的分层梯度推进工作机制，支持重点区域加大改革创新。建立国家省市三级营商环境创新举措遴选激励机制。加大对创新所占绩效考核权重，正向鼓励各级各部门创新。</w:t>
      </w:r>
    </w:p>
    <w:p>
      <w:pPr>
        <w:spacing w:line="360" w:lineRule="auto"/>
        <w:ind w:firstLine="642" w:firstLineChars="200"/>
        <w:outlineLvl w:val="1"/>
        <w:rPr>
          <w:rFonts w:ascii="方正楷体_GBK" w:hAnsi="方正楷体_GBK" w:eastAsia="方正楷体_GBK" w:cs="方正楷体_GBK"/>
          <w:b/>
          <w:bCs/>
          <w:color w:val="auto"/>
          <w:sz w:val="32"/>
          <w:szCs w:val="32"/>
          <w:highlight w:val="none"/>
          <w:u w:val="none"/>
        </w:rPr>
      </w:pPr>
      <w:bookmarkStart w:id="347" w:name="_Toc6289"/>
      <w:bookmarkStart w:id="348" w:name="_Toc1283823841"/>
      <w:bookmarkStart w:id="349" w:name="_Toc31138"/>
      <w:bookmarkStart w:id="350" w:name="_Toc179094195"/>
      <w:bookmarkStart w:id="351" w:name="_Toc26334"/>
      <w:bookmarkStart w:id="352" w:name="_Toc24646"/>
      <w:bookmarkStart w:id="353" w:name="_Toc26092"/>
      <w:bookmarkStart w:id="354" w:name="_Toc22608"/>
      <w:bookmarkStart w:id="355" w:name="_Toc25188"/>
      <w:r>
        <w:rPr>
          <w:rFonts w:hint="eastAsia" w:ascii="方正楷体_GBK" w:hAnsi="方正楷体_GBK" w:eastAsia="方正楷体_GBK" w:cs="方正楷体_GBK"/>
          <w:b/>
          <w:bCs/>
          <w:color w:val="auto"/>
          <w:sz w:val="32"/>
          <w:szCs w:val="32"/>
          <w:highlight w:val="none"/>
          <w:u w:val="none"/>
        </w:rPr>
        <w:t>（二）建立营商环境指标双牵头机制</w:t>
      </w:r>
      <w:bookmarkEnd w:id="347"/>
      <w:bookmarkEnd w:id="348"/>
      <w:bookmarkEnd w:id="349"/>
      <w:bookmarkEnd w:id="350"/>
      <w:bookmarkEnd w:id="351"/>
      <w:bookmarkEnd w:id="352"/>
      <w:bookmarkEnd w:id="353"/>
      <w:bookmarkEnd w:id="354"/>
      <w:bookmarkEnd w:id="355"/>
    </w:p>
    <w:p>
      <w:pPr>
        <w:pStyle w:val="2"/>
        <w:spacing w:after="0" w:line="360" w:lineRule="auto"/>
        <w:ind w:firstLine="640" w:firstLineChars="200"/>
        <w:rPr>
          <w:rFonts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color w:val="auto"/>
          <w:sz w:val="32"/>
          <w:szCs w:val="32"/>
          <w:highlight w:val="none"/>
          <w:u w:val="none"/>
        </w:rPr>
        <w:t>各区（开发区）结合各自特点和产业优势，分别选择2-3个国家营商环境评价指标和世界银行宜商环境评价指标（BEE），由区</w:t>
      </w:r>
      <w:r>
        <w:rPr>
          <w:rFonts w:hint="eastAsia" w:ascii="仿宋_GB2312" w:hAnsi="仿宋_GB2312" w:eastAsia="仿宋_GB2312" w:cs="仿宋_GB2312"/>
          <w:color w:val="auto"/>
          <w:sz w:val="32"/>
          <w:szCs w:val="32"/>
          <w:highlight w:val="none"/>
          <w:u w:val="none"/>
          <w:lang w:eastAsia="zh-CN"/>
        </w:rPr>
        <w:t>政府（开发区管委会）</w:t>
      </w:r>
      <w:r>
        <w:rPr>
          <w:rFonts w:hint="eastAsia" w:ascii="仿宋_GB2312" w:hAnsi="仿宋_GB2312" w:eastAsia="仿宋_GB2312" w:cs="仿宋_GB2312"/>
          <w:color w:val="auto"/>
          <w:sz w:val="32"/>
          <w:szCs w:val="32"/>
          <w:highlight w:val="none"/>
          <w:u w:val="none"/>
        </w:rPr>
        <w:t>和市直部门共同牵头推动指标优化提升</w:t>
      </w:r>
      <w:r>
        <w:rPr>
          <w:rFonts w:hint="eastAsia" w:ascii="仿宋_GB2312" w:hAnsi="仿宋_GB2312" w:eastAsia="仿宋_GB2312" w:cs="仿宋_GB2312"/>
          <w:color w:val="auto"/>
          <w:sz w:val="32"/>
          <w:szCs w:val="32"/>
          <w:highlight w:val="none"/>
          <w:u w:val="none"/>
          <w:lang w:eastAsia="zh-CN"/>
        </w:rPr>
        <w:t>试点</w:t>
      </w:r>
      <w:r>
        <w:rPr>
          <w:rFonts w:hint="eastAsia" w:ascii="仿宋_GB2312" w:hAnsi="仿宋_GB2312" w:eastAsia="仿宋_GB2312" w:cs="仿宋_GB2312"/>
          <w:color w:val="auto"/>
          <w:sz w:val="32"/>
          <w:szCs w:val="32"/>
          <w:highlight w:val="none"/>
          <w:u w:val="none"/>
        </w:rPr>
        <w:t>工作</w:t>
      </w:r>
      <w:r>
        <w:rPr>
          <w:rFonts w:hint="eastAsia" w:ascii="仿宋_GB2312" w:hAnsi="仿宋_GB2312" w:eastAsia="仿宋_GB2312" w:cs="仿宋_GB2312"/>
          <w:color w:val="auto"/>
          <w:sz w:val="32"/>
          <w:szCs w:val="32"/>
          <w:highlight w:val="none"/>
          <w:u w:val="none"/>
          <w:lang w:eastAsia="zh-CN"/>
        </w:rPr>
        <w:t>，并根据试点情况在全市推广实施</w:t>
      </w:r>
      <w:r>
        <w:rPr>
          <w:rFonts w:hint="eastAsia" w:ascii="仿宋_GB2312" w:hAnsi="仿宋_GB2312" w:eastAsia="仿宋_GB2312" w:cs="仿宋_GB2312"/>
          <w:color w:val="auto"/>
          <w:sz w:val="32"/>
          <w:szCs w:val="32"/>
          <w:highlight w:val="none"/>
          <w:u w:val="none"/>
        </w:rPr>
        <w:t>。双牵头的指标成立相应的工作专班，由区长（开发区</w:t>
      </w:r>
      <w:r>
        <w:rPr>
          <w:rFonts w:hint="eastAsia" w:ascii="仿宋_GB2312" w:hAnsi="仿宋_GB2312" w:eastAsia="仿宋_GB2312" w:cs="仿宋_GB2312"/>
          <w:color w:val="auto"/>
          <w:sz w:val="32"/>
          <w:szCs w:val="32"/>
          <w:highlight w:val="none"/>
          <w:u w:val="none"/>
          <w:lang w:eastAsia="zh-CN"/>
        </w:rPr>
        <w:t>管委会</w:t>
      </w:r>
      <w:r>
        <w:rPr>
          <w:rFonts w:hint="eastAsia" w:ascii="仿宋_GB2312" w:hAnsi="仿宋_GB2312" w:eastAsia="仿宋_GB2312" w:cs="仿宋_GB2312"/>
          <w:color w:val="auto"/>
          <w:sz w:val="32"/>
          <w:szCs w:val="32"/>
          <w:highlight w:val="none"/>
          <w:u w:val="none"/>
        </w:rPr>
        <w:t>主任）任组长、市直部门副职任副组长。双牵头指标的营商环境推进工作情况纳入市对区（</w:t>
      </w:r>
      <w:r>
        <w:rPr>
          <w:rFonts w:hint="eastAsia" w:ascii="仿宋_GB2312" w:hAnsi="仿宋_GB2312" w:eastAsia="仿宋_GB2312" w:cs="仿宋_GB2312"/>
          <w:color w:val="auto"/>
          <w:sz w:val="32"/>
          <w:szCs w:val="32"/>
          <w:highlight w:val="none"/>
          <w:u w:val="none"/>
          <w:lang w:eastAsia="zh-CN"/>
        </w:rPr>
        <w:t>开发区管委会</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、市直部门</w:t>
      </w:r>
      <w:r>
        <w:rPr>
          <w:rFonts w:hint="eastAsia" w:ascii="仿宋_GB2312" w:hAnsi="仿宋_GB2312" w:eastAsia="仿宋_GB2312" w:cs="仿宋_GB2312"/>
          <w:color w:val="auto"/>
          <w:sz w:val="32"/>
          <w:szCs w:val="32"/>
          <w:highlight w:val="none"/>
          <w:u w:val="none"/>
        </w:rPr>
        <w:t>的绩效考核。</w:t>
      </w:r>
    </w:p>
    <w:p>
      <w:pPr>
        <w:spacing w:line="360" w:lineRule="auto"/>
        <w:ind w:firstLine="642" w:firstLineChars="200"/>
        <w:outlineLvl w:val="1"/>
        <w:rPr>
          <w:rFonts w:ascii="方正楷体_GBK" w:hAnsi="方正楷体_GBK" w:eastAsia="方正楷体_GBK" w:cs="方正楷体_GBK"/>
          <w:b/>
          <w:bCs/>
          <w:color w:val="auto"/>
          <w:sz w:val="32"/>
          <w:szCs w:val="32"/>
          <w:highlight w:val="none"/>
          <w:u w:val="none"/>
        </w:rPr>
      </w:pPr>
      <w:bookmarkStart w:id="356" w:name="_Toc25149"/>
      <w:bookmarkStart w:id="357" w:name="_Toc11833"/>
      <w:bookmarkStart w:id="358" w:name="_Toc27053"/>
      <w:bookmarkStart w:id="359" w:name="_Toc28947"/>
      <w:bookmarkStart w:id="360" w:name="_Toc10217"/>
      <w:bookmarkStart w:id="361" w:name="_Toc168"/>
      <w:bookmarkStart w:id="362" w:name="_Toc18452"/>
      <w:bookmarkStart w:id="363" w:name="_Toc1811028888"/>
      <w:bookmarkStart w:id="364" w:name="_Toc275753157"/>
      <w:r>
        <w:rPr>
          <w:rFonts w:hint="eastAsia" w:ascii="方正楷体_GBK" w:hAnsi="方正楷体_GBK" w:eastAsia="方正楷体_GBK" w:cs="方正楷体_GBK"/>
          <w:b/>
          <w:bCs/>
          <w:color w:val="auto"/>
          <w:sz w:val="32"/>
          <w:szCs w:val="32"/>
          <w:highlight w:val="none"/>
          <w:u w:val="none"/>
        </w:rPr>
        <w:t>（三）构建政策宣传和精准服务</w:t>
      </w:r>
      <w:bookmarkEnd w:id="356"/>
      <w:bookmarkEnd w:id="357"/>
      <w:bookmarkEnd w:id="358"/>
      <w:bookmarkEnd w:id="359"/>
      <w:bookmarkEnd w:id="360"/>
      <w:bookmarkEnd w:id="361"/>
      <w:bookmarkEnd w:id="362"/>
      <w:bookmarkEnd w:id="363"/>
      <w:r>
        <w:rPr>
          <w:rFonts w:hint="eastAsia" w:ascii="方正楷体_GBK" w:hAnsi="方正楷体_GBK" w:eastAsia="方正楷体_GBK" w:cs="方正楷体_GBK"/>
          <w:b/>
          <w:bCs/>
          <w:color w:val="auto"/>
          <w:sz w:val="32"/>
          <w:szCs w:val="32"/>
          <w:highlight w:val="none"/>
          <w:u w:val="none"/>
        </w:rPr>
        <w:t>机制</w:t>
      </w:r>
      <w:bookmarkEnd w:id="364"/>
    </w:p>
    <w:p>
      <w:pPr>
        <w:pStyle w:val="2"/>
        <w:spacing w:after="0" w:line="360" w:lineRule="auto"/>
        <w:ind w:firstLine="640" w:firstLineChars="200"/>
        <w:rPr>
          <w:rFonts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color w:val="auto"/>
          <w:sz w:val="32"/>
          <w:szCs w:val="32"/>
          <w:highlight w:val="none"/>
          <w:u w:val="none"/>
        </w:rPr>
        <w:t>推动各区、各部门、各单位开展形式多样的政策宣传解读，建立政策发布、解读、宣传三同步机制。各区建立一站式企业综合服务平台，实现涉企政策兑现、政企互动沟通、企业诉求跟踪督办等。适时开展由第三方机构主导、企业家代表、重要企业服务机构参与的涉企政策实施效果评估。</w:t>
      </w:r>
    </w:p>
    <w:p>
      <w:pPr>
        <w:spacing w:line="360" w:lineRule="auto"/>
        <w:ind w:firstLine="642" w:firstLineChars="200"/>
        <w:outlineLvl w:val="1"/>
        <w:rPr>
          <w:rFonts w:ascii="方正楷体_GBK" w:hAnsi="方正楷体_GBK" w:eastAsia="方正楷体_GBK" w:cs="方正楷体_GBK"/>
          <w:b/>
          <w:bCs/>
          <w:color w:val="auto"/>
          <w:sz w:val="32"/>
          <w:szCs w:val="32"/>
          <w:highlight w:val="none"/>
          <w:u w:val="none"/>
        </w:rPr>
      </w:pPr>
      <w:bookmarkStart w:id="365" w:name="_Toc12410"/>
      <w:bookmarkStart w:id="366" w:name="_Toc4887"/>
      <w:bookmarkStart w:id="367" w:name="_Toc654686779"/>
      <w:bookmarkStart w:id="368" w:name="_Toc22354"/>
      <w:bookmarkStart w:id="369" w:name="_Toc970929387"/>
      <w:r>
        <w:rPr>
          <w:rFonts w:hint="eastAsia" w:ascii="方正楷体_GBK" w:hAnsi="方正楷体_GBK" w:eastAsia="方正楷体_GBK" w:cs="方正楷体_GBK"/>
          <w:b/>
          <w:bCs/>
          <w:color w:val="auto"/>
          <w:sz w:val="32"/>
          <w:szCs w:val="32"/>
          <w:highlight w:val="none"/>
          <w:u w:val="none"/>
        </w:rPr>
        <w:t>（四）完善市场主体满意度</w:t>
      </w:r>
      <w:bookmarkEnd w:id="365"/>
      <w:bookmarkEnd w:id="366"/>
      <w:bookmarkEnd w:id="367"/>
      <w:bookmarkEnd w:id="368"/>
      <w:r>
        <w:rPr>
          <w:rFonts w:hint="eastAsia" w:ascii="方正楷体_GBK" w:hAnsi="方正楷体_GBK" w:eastAsia="方正楷体_GBK" w:cs="方正楷体_GBK"/>
          <w:b/>
          <w:bCs/>
          <w:color w:val="auto"/>
          <w:sz w:val="32"/>
          <w:szCs w:val="32"/>
          <w:highlight w:val="none"/>
          <w:u w:val="none"/>
        </w:rPr>
        <w:t>动态监测机制</w:t>
      </w:r>
      <w:bookmarkEnd w:id="369"/>
    </w:p>
    <w:p>
      <w:pPr>
        <w:pStyle w:val="2"/>
        <w:spacing w:after="0" w:line="360" w:lineRule="auto"/>
        <w:ind w:firstLine="640" w:firstLineChars="200"/>
        <w:rPr>
          <w:rFonts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color w:val="auto"/>
          <w:sz w:val="32"/>
          <w:szCs w:val="32"/>
          <w:highlight w:val="none"/>
          <w:u w:val="none"/>
        </w:rPr>
        <w:t>完善中小企业服务体系，拓展延伸服务队伍，推动市、区两级企业服务资源、系统平台与园区和楼宇对接。建立企业满意度动态监测机制，掌握、分析并解决企业经营发展各环节遇到的问题。不断优化营商环境体验官活动，使体验活动真正成为优化营商环境的“第一线”。提升政务热线智能化水平，提高政务热线接办率和满意率。</w:t>
      </w:r>
    </w:p>
    <w:p>
      <w:pPr>
        <w:pStyle w:val="2"/>
        <w:ind w:firstLine="420" w:firstLineChars="200"/>
        <w:rPr>
          <w:color w:val="auto"/>
          <w:highlight w:val="none"/>
          <w:u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NWVmYzFlNWQ5MmM3Y2QwMzNmNGU1NzYwZGJhNjIifQ=="/>
  </w:docVars>
  <w:rsids>
    <w:rsidRoot w:val="00BB3688"/>
    <w:rsid w:val="0000329B"/>
    <w:rsid w:val="00054829"/>
    <w:rsid w:val="000D5C17"/>
    <w:rsid w:val="00147964"/>
    <w:rsid w:val="001D6283"/>
    <w:rsid w:val="003127D0"/>
    <w:rsid w:val="00361B52"/>
    <w:rsid w:val="0040659E"/>
    <w:rsid w:val="0041716C"/>
    <w:rsid w:val="00426DEB"/>
    <w:rsid w:val="004E1568"/>
    <w:rsid w:val="004E7F57"/>
    <w:rsid w:val="00564AE4"/>
    <w:rsid w:val="005F14FC"/>
    <w:rsid w:val="00606ACC"/>
    <w:rsid w:val="00624CE8"/>
    <w:rsid w:val="006A6641"/>
    <w:rsid w:val="00707070"/>
    <w:rsid w:val="008177E5"/>
    <w:rsid w:val="00914725"/>
    <w:rsid w:val="00986FAC"/>
    <w:rsid w:val="009B46CD"/>
    <w:rsid w:val="009C1289"/>
    <w:rsid w:val="00A07C5B"/>
    <w:rsid w:val="00AE73B7"/>
    <w:rsid w:val="00BA35D3"/>
    <w:rsid w:val="00BB3688"/>
    <w:rsid w:val="00C26160"/>
    <w:rsid w:val="00C314F7"/>
    <w:rsid w:val="00CB6889"/>
    <w:rsid w:val="00DB183B"/>
    <w:rsid w:val="00DC4DD3"/>
    <w:rsid w:val="00DF607B"/>
    <w:rsid w:val="00E14688"/>
    <w:rsid w:val="00E43DC7"/>
    <w:rsid w:val="00E86C1A"/>
    <w:rsid w:val="00F74EEB"/>
    <w:rsid w:val="00FB2845"/>
    <w:rsid w:val="0211370D"/>
    <w:rsid w:val="0235424D"/>
    <w:rsid w:val="03986D8A"/>
    <w:rsid w:val="05340028"/>
    <w:rsid w:val="05ED6C6E"/>
    <w:rsid w:val="0626468B"/>
    <w:rsid w:val="075C6EB1"/>
    <w:rsid w:val="0A3B1C10"/>
    <w:rsid w:val="0A605AEC"/>
    <w:rsid w:val="0AC97464"/>
    <w:rsid w:val="0BBB2480"/>
    <w:rsid w:val="0CCA74C4"/>
    <w:rsid w:val="0D3F313C"/>
    <w:rsid w:val="0DC171FD"/>
    <w:rsid w:val="0E410FFF"/>
    <w:rsid w:val="0EB9159E"/>
    <w:rsid w:val="0F4F5A5E"/>
    <w:rsid w:val="0F6E4175"/>
    <w:rsid w:val="0FDF0E34"/>
    <w:rsid w:val="10AB7EF3"/>
    <w:rsid w:val="117143B2"/>
    <w:rsid w:val="11AF2567"/>
    <w:rsid w:val="11BB45E8"/>
    <w:rsid w:val="12BB58E4"/>
    <w:rsid w:val="13976854"/>
    <w:rsid w:val="13FE00D3"/>
    <w:rsid w:val="145E131D"/>
    <w:rsid w:val="152567F6"/>
    <w:rsid w:val="15BF4AAB"/>
    <w:rsid w:val="17976E38"/>
    <w:rsid w:val="19061883"/>
    <w:rsid w:val="191B532F"/>
    <w:rsid w:val="19DB4820"/>
    <w:rsid w:val="1A1C3A72"/>
    <w:rsid w:val="1BFE7BD5"/>
    <w:rsid w:val="1C6510EA"/>
    <w:rsid w:val="1D7019C1"/>
    <w:rsid w:val="1DF62A07"/>
    <w:rsid w:val="1DFFFBD2"/>
    <w:rsid w:val="1E4F1A73"/>
    <w:rsid w:val="1EB5427B"/>
    <w:rsid w:val="1F3233D2"/>
    <w:rsid w:val="1FC87893"/>
    <w:rsid w:val="1FF87D88"/>
    <w:rsid w:val="20CF05C8"/>
    <w:rsid w:val="20F47651"/>
    <w:rsid w:val="21156B08"/>
    <w:rsid w:val="21BB5F59"/>
    <w:rsid w:val="21F91F85"/>
    <w:rsid w:val="23066513"/>
    <w:rsid w:val="23595CB7"/>
    <w:rsid w:val="24A72BD0"/>
    <w:rsid w:val="24BD6D49"/>
    <w:rsid w:val="26055897"/>
    <w:rsid w:val="27A24E6D"/>
    <w:rsid w:val="27D760CD"/>
    <w:rsid w:val="28E53263"/>
    <w:rsid w:val="29566278"/>
    <w:rsid w:val="299D53F1"/>
    <w:rsid w:val="2A926381"/>
    <w:rsid w:val="2AC96CA1"/>
    <w:rsid w:val="2B12080F"/>
    <w:rsid w:val="2B195446"/>
    <w:rsid w:val="2B5121E4"/>
    <w:rsid w:val="2BF7F97B"/>
    <w:rsid w:val="2C760712"/>
    <w:rsid w:val="2CE57990"/>
    <w:rsid w:val="2D7B5F44"/>
    <w:rsid w:val="2D9708A4"/>
    <w:rsid w:val="2F0B154A"/>
    <w:rsid w:val="2F5C1DA5"/>
    <w:rsid w:val="2FCE5C59"/>
    <w:rsid w:val="30584877"/>
    <w:rsid w:val="31FC559A"/>
    <w:rsid w:val="326208F7"/>
    <w:rsid w:val="3350151B"/>
    <w:rsid w:val="33986CB1"/>
    <w:rsid w:val="339F04B3"/>
    <w:rsid w:val="35361905"/>
    <w:rsid w:val="36436E94"/>
    <w:rsid w:val="36A925DC"/>
    <w:rsid w:val="37102598"/>
    <w:rsid w:val="37ED45BD"/>
    <w:rsid w:val="37FFA7ED"/>
    <w:rsid w:val="380838F9"/>
    <w:rsid w:val="39423AB6"/>
    <w:rsid w:val="39810BFC"/>
    <w:rsid w:val="39917514"/>
    <w:rsid w:val="3AE4749D"/>
    <w:rsid w:val="3AFC113C"/>
    <w:rsid w:val="3B206C9F"/>
    <w:rsid w:val="3B2E6046"/>
    <w:rsid w:val="3B5C1DCA"/>
    <w:rsid w:val="3BE61375"/>
    <w:rsid w:val="3BF54857"/>
    <w:rsid w:val="3D331572"/>
    <w:rsid w:val="3DF5E2F4"/>
    <w:rsid w:val="3E7D564D"/>
    <w:rsid w:val="3E95A29F"/>
    <w:rsid w:val="3ED25BE0"/>
    <w:rsid w:val="3EFD2606"/>
    <w:rsid w:val="3F3E6742"/>
    <w:rsid w:val="3F6D5DC2"/>
    <w:rsid w:val="3F6F9EDC"/>
    <w:rsid w:val="3FB00966"/>
    <w:rsid w:val="3FDE005A"/>
    <w:rsid w:val="3FEDECE2"/>
    <w:rsid w:val="3FEF5735"/>
    <w:rsid w:val="3FF14412"/>
    <w:rsid w:val="3FF83D07"/>
    <w:rsid w:val="3FFBCF83"/>
    <w:rsid w:val="40DA42B1"/>
    <w:rsid w:val="415428DD"/>
    <w:rsid w:val="41AA7C41"/>
    <w:rsid w:val="41E00614"/>
    <w:rsid w:val="429D7F41"/>
    <w:rsid w:val="42F24211"/>
    <w:rsid w:val="45233C5C"/>
    <w:rsid w:val="46B75DE7"/>
    <w:rsid w:val="46BE435B"/>
    <w:rsid w:val="473E2065"/>
    <w:rsid w:val="47D54442"/>
    <w:rsid w:val="483E6094"/>
    <w:rsid w:val="48515DC8"/>
    <w:rsid w:val="48FF5824"/>
    <w:rsid w:val="49FAB403"/>
    <w:rsid w:val="4AB60F99"/>
    <w:rsid w:val="4B69167A"/>
    <w:rsid w:val="4BFF8E83"/>
    <w:rsid w:val="4CF70B87"/>
    <w:rsid w:val="4D9C7AE5"/>
    <w:rsid w:val="4E67660A"/>
    <w:rsid w:val="4EF3C7F9"/>
    <w:rsid w:val="4F936CC6"/>
    <w:rsid w:val="4FB6A9D8"/>
    <w:rsid w:val="4FFB8A96"/>
    <w:rsid w:val="4FFF3A74"/>
    <w:rsid w:val="508C55F7"/>
    <w:rsid w:val="50AE9203"/>
    <w:rsid w:val="510A745E"/>
    <w:rsid w:val="512613BB"/>
    <w:rsid w:val="51BD2678"/>
    <w:rsid w:val="52095FB4"/>
    <w:rsid w:val="52642B9B"/>
    <w:rsid w:val="52CB49C9"/>
    <w:rsid w:val="53FB3A50"/>
    <w:rsid w:val="53FD32A8"/>
    <w:rsid w:val="54CA318A"/>
    <w:rsid w:val="55052414"/>
    <w:rsid w:val="556B58FC"/>
    <w:rsid w:val="55FB63FD"/>
    <w:rsid w:val="5668572E"/>
    <w:rsid w:val="5711305F"/>
    <w:rsid w:val="5777B5CE"/>
    <w:rsid w:val="577B33AE"/>
    <w:rsid w:val="57EBA6CA"/>
    <w:rsid w:val="57FF8528"/>
    <w:rsid w:val="57FF8B1E"/>
    <w:rsid w:val="58B33184"/>
    <w:rsid w:val="58BF0BED"/>
    <w:rsid w:val="590A624B"/>
    <w:rsid w:val="59277948"/>
    <w:rsid w:val="5A236E98"/>
    <w:rsid w:val="5A38668C"/>
    <w:rsid w:val="5AFAEC2A"/>
    <w:rsid w:val="5AFFAC40"/>
    <w:rsid w:val="5B70D710"/>
    <w:rsid w:val="5B7366B7"/>
    <w:rsid w:val="5BAF4E87"/>
    <w:rsid w:val="5BFBA218"/>
    <w:rsid w:val="5CBC2374"/>
    <w:rsid w:val="5CC53783"/>
    <w:rsid w:val="5CFF0A11"/>
    <w:rsid w:val="5D4810F0"/>
    <w:rsid w:val="5D6F0A3B"/>
    <w:rsid w:val="5DB5E02C"/>
    <w:rsid w:val="5DD72473"/>
    <w:rsid w:val="5DFD63D5"/>
    <w:rsid w:val="5E483371"/>
    <w:rsid w:val="5E5B30A5"/>
    <w:rsid w:val="5E7E0622"/>
    <w:rsid w:val="5F310F3C"/>
    <w:rsid w:val="5F5D7B60"/>
    <w:rsid w:val="5F6F8B03"/>
    <w:rsid w:val="5F6FF3DF"/>
    <w:rsid w:val="5FA171DD"/>
    <w:rsid w:val="5FB5E867"/>
    <w:rsid w:val="5FCF2993"/>
    <w:rsid w:val="5FEF786E"/>
    <w:rsid w:val="5FF72A15"/>
    <w:rsid w:val="5FF8FDBA"/>
    <w:rsid w:val="6005776C"/>
    <w:rsid w:val="601C4AB5"/>
    <w:rsid w:val="63B70A16"/>
    <w:rsid w:val="641610AE"/>
    <w:rsid w:val="64434A0F"/>
    <w:rsid w:val="64E04304"/>
    <w:rsid w:val="64F41B5D"/>
    <w:rsid w:val="65913850"/>
    <w:rsid w:val="662D2D6E"/>
    <w:rsid w:val="6659025C"/>
    <w:rsid w:val="67CE2264"/>
    <w:rsid w:val="67D5649A"/>
    <w:rsid w:val="67E36617"/>
    <w:rsid w:val="67EE4862"/>
    <w:rsid w:val="67FA62CA"/>
    <w:rsid w:val="67FF5176"/>
    <w:rsid w:val="681C02F3"/>
    <w:rsid w:val="689530E7"/>
    <w:rsid w:val="693E1528"/>
    <w:rsid w:val="6A7C19FC"/>
    <w:rsid w:val="6A8B1493"/>
    <w:rsid w:val="6AD00976"/>
    <w:rsid w:val="6BCB1B02"/>
    <w:rsid w:val="6C0B0EC0"/>
    <w:rsid w:val="6D125A76"/>
    <w:rsid w:val="6D254FA9"/>
    <w:rsid w:val="6DC0216D"/>
    <w:rsid w:val="6DD14A42"/>
    <w:rsid w:val="6DF1132F"/>
    <w:rsid w:val="6DF81BD7"/>
    <w:rsid w:val="6DFEA3C5"/>
    <w:rsid w:val="6E201C15"/>
    <w:rsid w:val="6E5938A2"/>
    <w:rsid w:val="6E7F4401"/>
    <w:rsid w:val="6F626EC6"/>
    <w:rsid w:val="6F661411"/>
    <w:rsid w:val="6F7FA181"/>
    <w:rsid w:val="6FAD0B5D"/>
    <w:rsid w:val="6FDD6F8E"/>
    <w:rsid w:val="6FFEF4B9"/>
    <w:rsid w:val="705B0CE2"/>
    <w:rsid w:val="71F118FE"/>
    <w:rsid w:val="72BD63E2"/>
    <w:rsid w:val="73964055"/>
    <w:rsid w:val="73BD5ADD"/>
    <w:rsid w:val="73C827F0"/>
    <w:rsid w:val="749E5935"/>
    <w:rsid w:val="74BF1C05"/>
    <w:rsid w:val="75862CA5"/>
    <w:rsid w:val="758A2381"/>
    <w:rsid w:val="75B7E724"/>
    <w:rsid w:val="76B7A977"/>
    <w:rsid w:val="76BFE72E"/>
    <w:rsid w:val="76DE690F"/>
    <w:rsid w:val="772A06C6"/>
    <w:rsid w:val="777D8989"/>
    <w:rsid w:val="77D01FB6"/>
    <w:rsid w:val="78C54617"/>
    <w:rsid w:val="78E75809"/>
    <w:rsid w:val="79773031"/>
    <w:rsid w:val="79C91299"/>
    <w:rsid w:val="7AF7FA26"/>
    <w:rsid w:val="7B59CFD0"/>
    <w:rsid w:val="7B96BF44"/>
    <w:rsid w:val="7BA7AF79"/>
    <w:rsid w:val="7BAB9F92"/>
    <w:rsid w:val="7BBB03CA"/>
    <w:rsid w:val="7BCBE94F"/>
    <w:rsid w:val="7BEF24B1"/>
    <w:rsid w:val="7BFE258D"/>
    <w:rsid w:val="7C9B456C"/>
    <w:rsid w:val="7CFB190C"/>
    <w:rsid w:val="7CFDA143"/>
    <w:rsid w:val="7CFE4B81"/>
    <w:rsid w:val="7CFF670F"/>
    <w:rsid w:val="7D6346F0"/>
    <w:rsid w:val="7D9F3C14"/>
    <w:rsid w:val="7DA32AAF"/>
    <w:rsid w:val="7DC730F3"/>
    <w:rsid w:val="7DDB6E16"/>
    <w:rsid w:val="7E01736D"/>
    <w:rsid w:val="7E175E84"/>
    <w:rsid w:val="7E1B0506"/>
    <w:rsid w:val="7E36154E"/>
    <w:rsid w:val="7E63743B"/>
    <w:rsid w:val="7E6E3951"/>
    <w:rsid w:val="7E7F402E"/>
    <w:rsid w:val="7EBC879F"/>
    <w:rsid w:val="7EBE7F16"/>
    <w:rsid w:val="7EF87EAA"/>
    <w:rsid w:val="7EFBEE94"/>
    <w:rsid w:val="7F380240"/>
    <w:rsid w:val="7F4EB64C"/>
    <w:rsid w:val="7F76121D"/>
    <w:rsid w:val="7F76356F"/>
    <w:rsid w:val="7F8845B9"/>
    <w:rsid w:val="7FA5CA26"/>
    <w:rsid w:val="7FB63370"/>
    <w:rsid w:val="7FBAE3DB"/>
    <w:rsid w:val="7FBE47D7"/>
    <w:rsid w:val="7FBFD457"/>
    <w:rsid w:val="7FBFDABF"/>
    <w:rsid w:val="7FDE4382"/>
    <w:rsid w:val="7FE71811"/>
    <w:rsid w:val="7FE7B1E7"/>
    <w:rsid w:val="7FEBB1EC"/>
    <w:rsid w:val="7FF28F33"/>
    <w:rsid w:val="7FF77195"/>
    <w:rsid w:val="7FFC91B4"/>
    <w:rsid w:val="7FFE9D68"/>
    <w:rsid w:val="7FFECC2D"/>
    <w:rsid w:val="7FFFD6AE"/>
    <w:rsid w:val="8FFF7C0E"/>
    <w:rsid w:val="99E767DA"/>
    <w:rsid w:val="9CED4D8D"/>
    <w:rsid w:val="9DCDEBB0"/>
    <w:rsid w:val="9DFF406D"/>
    <w:rsid w:val="9F9D9E35"/>
    <w:rsid w:val="9FD96771"/>
    <w:rsid w:val="9FFED93F"/>
    <w:rsid w:val="A05FCBC8"/>
    <w:rsid w:val="A7B12C1E"/>
    <w:rsid w:val="AB786EF5"/>
    <w:rsid w:val="AD37D7A7"/>
    <w:rsid w:val="AFFD5FB0"/>
    <w:rsid w:val="AFFF24CB"/>
    <w:rsid w:val="B7EF1818"/>
    <w:rsid w:val="B8FFDA31"/>
    <w:rsid w:val="B9A19366"/>
    <w:rsid w:val="BAFB3E8F"/>
    <w:rsid w:val="BB7F96BD"/>
    <w:rsid w:val="BB9F83D1"/>
    <w:rsid w:val="BCD3AB65"/>
    <w:rsid w:val="BCD77AF0"/>
    <w:rsid w:val="BDEE12B4"/>
    <w:rsid w:val="BDFFDAD5"/>
    <w:rsid w:val="BEC5251C"/>
    <w:rsid w:val="BEFEFDF8"/>
    <w:rsid w:val="BFB1FBE4"/>
    <w:rsid w:val="BFBE8F01"/>
    <w:rsid w:val="BFDB0A79"/>
    <w:rsid w:val="BFE61167"/>
    <w:rsid w:val="BFE6A86F"/>
    <w:rsid w:val="BFE7B5DD"/>
    <w:rsid w:val="BFFA2126"/>
    <w:rsid w:val="BFFAD30B"/>
    <w:rsid w:val="BFFF2DFF"/>
    <w:rsid w:val="C2BE1980"/>
    <w:rsid w:val="C7AE2AA5"/>
    <w:rsid w:val="C97D004B"/>
    <w:rsid w:val="CBB73E69"/>
    <w:rsid w:val="CDF760B4"/>
    <w:rsid w:val="CEFF5077"/>
    <w:rsid w:val="CFFEC1D1"/>
    <w:rsid w:val="D7373A93"/>
    <w:rsid w:val="D76F0010"/>
    <w:rsid w:val="D7BE8B53"/>
    <w:rsid w:val="DAF36315"/>
    <w:rsid w:val="DAFE7538"/>
    <w:rsid w:val="DDAFC88D"/>
    <w:rsid w:val="DDB7CC74"/>
    <w:rsid w:val="DDF65CAA"/>
    <w:rsid w:val="DED224E2"/>
    <w:rsid w:val="DEE5EDE0"/>
    <w:rsid w:val="DEEF5BF1"/>
    <w:rsid w:val="DFD63C5C"/>
    <w:rsid w:val="DFECD7FF"/>
    <w:rsid w:val="DFF32DA7"/>
    <w:rsid w:val="DFFB0D9E"/>
    <w:rsid w:val="DFFD405D"/>
    <w:rsid w:val="E5EEAEC1"/>
    <w:rsid w:val="E7E38034"/>
    <w:rsid w:val="E7EF2D8B"/>
    <w:rsid w:val="E7FFC4C2"/>
    <w:rsid w:val="E9816C3D"/>
    <w:rsid w:val="E9FFD0D3"/>
    <w:rsid w:val="EDD5E8F4"/>
    <w:rsid w:val="EDDE80ED"/>
    <w:rsid w:val="EDEFF539"/>
    <w:rsid w:val="EDFA6B60"/>
    <w:rsid w:val="EDFDBCC3"/>
    <w:rsid w:val="EFD2267B"/>
    <w:rsid w:val="EFED4ADF"/>
    <w:rsid w:val="EFF7D73D"/>
    <w:rsid w:val="F26F87D6"/>
    <w:rsid w:val="F2FE86DC"/>
    <w:rsid w:val="F5CF4F3D"/>
    <w:rsid w:val="F5D39EF9"/>
    <w:rsid w:val="F5FF7DD0"/>
    <w:rsid w:val="F6F709D0"/>
    <w:rsid w:val="F7038CCB"/>
    <w:rsid w:val="F77F7805"/>
    <w:rsid w:val="F9D13A5C"/>
    <w:rsid w:val="F9DBA8B9"/>
    <w:rsid w:val="FA9BA400"/>
    <w:rsid w:val="FACF68A1"/>
    <w:rsid w:val="FB7F0838"/>
    <w:rsid w:val="FBBFEA79"/>
    <w:rsid w:val="FBEFE431"/>
    <w:rsid w:val="FC5EAABC"/>
    <w:rsid w:val="FC794901"/>
    <w:rsid w:val="FCF9D543"/>
    <w:rsid w:val="FDEB3D8A"/>
    <w:rsid w:val="FDFDB4AD"/>
    <w:rsid w:val="FE7143EB"/>
    <w:rsid w:val="FEB3E7D4"/>
    <w:rsid w:val="FEDF943C"/>
    <w:rsid w:val="FEDFDCA0"/>
    <w:rsid w:val="FEFF3F00"/>
    <w:rsid w:val="FF2FBCBB"/>
    <w:rsid w:val="FF3BF67C"/>
    <w:rsid w:val="FF668225"/>
    <w:rsid w:val="FF77AC8A"/>
    <w:rsid w:val="FF7F0431"/>
    <w:rsid w:val="FF9C532A"/>
    <w:rsid w:val="FFD38D21"/>
    <w:rsid w:val="FFF4BDAC"/>
    <w:rsid w:val="FFF7C006"/>
    <w:rsid w:val="FFFF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qFormat/>
    <w:uiPriority w:val="0"/>
    <w:pPr>
      <w:jc w:val="left"/>
    </w:pPr>
  </w:style>
  <w:style w:type="paragraph" w:styleId="4">
    <w:name w:val="toc 3"/>
    <w:basedOn w:val="1"/>
    <w:next w:val="1"/>
    <w:qFormat/>
    <w:uiPriority w:val="0"/>
    <w:pPr>
      <w:ind w:left="840" w:leftChars="400"/>
    </w:pPr>
  </w:style>
  <w:style w:type="paragraph" w:styleId="5">
    <w:name w:val="Body Text Indent 2"/>
    <w:basedOn w:val="1"/>
    <w:qFormat/>
    <w:uiPriority w:val="99"/>
    <w:pPr>
      <w:spacing w:after="120" w:line="480" w:lineRule="auto"/>
      <w:ind w:left="420" w:leftChars="2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footnote text"/>
    <w:basedOn w:val="1"/>
    <w:qFormat/>
    <w:uiPriority w:val="0"/>
    <w:pPr>
      <w:snapToGrid w:val="0"/>
      <w:jc w:val="left"/>
    </w:pPr>
    <w:rPr>
      <w:sz w:val="18"/>
    </w:rPr>
  </w:style>
  <w:style w:type="paragraph" w:styleId="11">
    <w:name w:val="toc 2"/>
    <w:basedOn w:val="1"/>
    <w:next w:val="1"/>
    <w:qFormat/>
    <w:uiPriority w:val="0"/>
    <w:pPr>
      <w:ind w:left="420" w:leftChars="200"/>
    </w:pPr>
  </w:style>
  <w:style w:type="paragraph" w:styleId="12">
    <w:name w:val="Normal (Web)"/>
    <w:basedOn w:val="1"/>
    <w:qFormat/>
    <w:uiPriority w:val="0"/>
    <w:pPr>
      <w:spacing w:before="100" w:beforeAutospacing="1" w:after="100" w:afterAutospacing="1"/>
      <w:jc w:val="left"/>
    </w:pPr>
    <w:rPr>
      <w:kern w:val="0"/>
      <w:sz w:val="24"/>
    </w:rPr>
  </w:style>
  <w:style w:type="character" w:styleId="15">
    <w:name w:val="footnote reference"/>
    <w:basedOn w:val="14"/>
    <w:qFormat/>
    <w:uiPriority w:val="0"/>
    <w:rPr>
      <w:vertAlign w:val="superscript"/>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9">
    <w:name w:val="批注框文本 字符"/>
    <w:basedOn w:val="14"/>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1889</Words>
  <Characters>10771</Characters>
  <Lines>89</Lines>
  <Paragraphs>25</Paragraphs>
  <TotalTime>0</TotalTime>
  <ScaleCrop>false</ScaleCrop>
  <LinksUpToDate>false</LinksUpToDate>
  <CharactersWithSpaces>12635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2023-02-13T01:35:00Z</dcterms:created>
  <dc:creator>13124</dc:creator>
  <cp:lastModifiedBy>xmadmin</cp:lastModifiedBy>
  <dcterms:modified xsi:type="dcterms:W3CDTF">2023-03-17T10:24:59Z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C8C0FA36E74C4F0FB26AF7A53BBF4DE6</vt:lpwstr>
  </property>
</Properties>
</file>