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附件3</w:t>
      </w:r>
    </w:p>
    <w:p>
      <w:pPr>
        <w:adjustRightInd w:val="0"/>
        <w:snapToGrid w:val="0"/>
        <w:spacing w:line="590" w:lineRule="exact"/>
        <w:ind w:firstLine="640" w:firstLineChars="200"/>
        <w:rPr>
          <w:rFonts w:hint="eastAsia" w:eastAsia="方正仿宋_GBK" w:cs="宋体"/>
          <w:bCs/>
          <w:snapToGrid w:val="0"/>
          <w:color w:val="000000"/>
          <w:sz w:val="32"/>
          <w:szCs w:val="32"/>
        </w:rPr>
      </w:pPr>
    </w:p>
    <w:p>
      <w:pPr>
        <w:adjustRightInd w:val="0"/>
        <w:snapToGrid w:val="0"/>
        <w:spacing w:line="590" w:lineRule="exact"/>
        <w:jc w:val="center"/>
        <w:rPr>
          <w:rFonts w:hint="eastAsia" w:ascii="方正小标宋_GBK" w:eastAsia="方正小标宋_GBK" w:cs="方正小标宋_GBK"/>
          <w:bCs/>
          <w:snapToGrid w:val="0"/>
          <w:color w:val="000000"/>
          <w:sz w:val="44"/>
          <w:szCs w:val="44"/>
        </w:rPr>
      </w:pPr>
      <w:bookmarkStart w:id="0" w:name="_GoBack"/>
      <w:r>
        <w:rPr>
          <w:rFonts w:hint="eastAsia" w:ascii="方正小标宋_GBK" w:eastAsia="方正小标宋_GBK" w:cs="方正小标宋_GBK"/>
          <w:bCs/>
          <w:snapToGrid w:val="0"/>
          <w:color w:val="000000"/>
          <w:sz w:val="44"/>
          <w:szCs w:val="44"/>
        </w:rPr>
        <w:t>全区优化营商环境大行动实施方案2020年重点任务清单</w:t>
      </w:r>
    </w:p>
    <w:bookmarkEnd w:id="0"/>
    <w:p>
      <w:pPr>
        <w:adjustRightInd w:val="0"/>
        <w:snapToGrid w:val="0"/>
        <w:spacing w:line="590" w:lineRule="exact"/>
        <w:ind w:firstLine="640" w:firstLineChars="200"/>
        <w:rPr>
          <w:rFonts w:hint="eastAsia" w:eastAsia="方正仿宋_GBK" w:cs="宋体"/>
          <w:bCs/>
          <w:snapToGrid w:val="0"/>
          <w:color w:val="000000"/>
          <w:sz w:val="32"/>
          <w:szCs w:val="32"/>
        </w:rPr>
      </w:pPr>
    </w:p>
    <w:tbl>
      <w:tblPr>
        <w:tblStyle w:val="3"/>
        <w:tblW w:w="13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7"/>
        <w:gridCol w:w="7475"/>
        <w:gridCol w:w="3485"/>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序号</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重点工作任务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责任单位</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一、营造更加高效便民的政务环境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面实现全区投资项目在线并联审批，“多评合一”、“联合勘测”、“多方案合审”、“多图联审”及“区域评估”等技术审查结果与项目审批同步在线流转。推进线上线下业务办理无缝衔接，实现“前台综合受理、后台分类审批、综合窗口出件”。</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自治区政管办、发展改革委、住房城乡建设厅，自治区各有关部门，各市、县（市、区）人民政府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试点开展企业名称登记和企业设立登记合并工作模式，逐步取消企业名称核准环节。</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住房城乡建设部门的房屋交易信息、税务部门的纳税信息、工商部门的法人信息、公安部门的公民个人信息与国土部门建立信息互通共享，不动产登记机构能够通过实时互通共享取得的信息，实现不动产登记5个工作日内办结。</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自治区国土资源厅、住房城乡建设厅，广西壮族自治区税务局，自治区工商局、公安厅、民政厅，各市、县（市、区）人民政府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实现全区房屋建筑和市政基础设施工程项目施工图有关审批事项在线并联审批，全面实现施工图多审合一和数字化审图。在全区推行“4560”审批流程，实现企业项目投资审批程在各阶段、各环节、各部门间顺利运行，全面实现“4560”工作目标。</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自治区住房城乡建设厅、发展改革委、环境保护厅、国土资源厅、公安厅、政管办、人防办，广西公安消防总队，自治区安全监管局、气象局、地震局，各市、县（市、区）人民政府，相关园区管委会</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将电子营业执照的应用范围逐步扩大至公安刻章、税务办理、公共资源交易服务等政务服务。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自治区工商局、公安厅，广西壮族自治区税务局，自治区政管办</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在全区范围内全面实现3个工作日内完成企业开办手续的目标。</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建设11个自治区级商标品牌创业创新基地，每个设区市至少要建立一个自治区级品牌创业创新基地。</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在广西建立2个商标品牌国际注册、运用、管理和保护的培训基地。</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自治区工商局，自治区各有关部门，各设区市人民政府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开展一次查处无证无照经营专项行动。</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自治区查处取缔无证无照经营联席会议各成员单位，各市、县（市、区）人民政府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实现“放心消费”示范单位覆盖全区消费较为集中的主要行业和领域、重点经营场所，示范街内的市场主体（经营户）参创率达80%以上。</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不定期组织有关部门对全区营商环境建设工作开展专项督查，每年向自治区党委、自治区人民政府报告投资投诉办理情况。</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自治区投资促进局，自治区投资促进委员会其他成员单位</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12</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建立负面清单、收费清单，行政职权及依据、监管事项、对应责任、行使主体、方法程序、处罚措施等以清单形式向社会公示，接受社会监督，在涉企执法部门实现“双随机一公开”监管全覆盖。</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自治区工商局、政管办、编办、法制办，自治区各有关部门，各设区市人民政府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13</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定期监测分析和掌握我区企业投资运行成本情况，研究提出降本增效的改进措施。</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自治区物价局、工业和信息化委，各设区市人民政府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14</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全区各级行政执法、审批部门应邀请商会、协会及企业代表担任社会监督员，监督政府部门依法行政。</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全区各级行政执法、审批部门</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15</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落实《公平竞争审查制度实施细则（暂行）》，全面清理全区各级政府与企业签订的各类合作协议和相关的行政规范性文件，对不符合公平竞争原则的要立即纠正。</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自治区发展改革委、财政厅、商务厅、工商局、法制办</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二、营造更加利企降本的建设经营环境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16</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2020年计划盘活1.53万公顷存量建设用地。</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自治区国土资源厅，各设区市人民政府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完善审批系统、规范报批材料、理顺报批机制，实现建设用地报批“智慧审批”的目标，全区建设用地报批审查效率大幅提升。</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自治区国土资源厅，各设区市人民政府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推进用水价格改革，完善用水定价机制。</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自治区物价局、住房城乡建设厅，各市、县（市、区）人民政府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进一步完善用气定价机制，推进天然气价格市场化改革。</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自治区物价局、能源局、住房城乡建设厅，各市、县（市、区）人民政府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全区基本实现县县通天然气目标。</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自治区发展改革委、住房城乡建设厅，各市、县（市、区）人民政府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全面落实用水用电配套项目至用户单位用地红线工作。</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全区各供水供电企业，自治区住房城乡建设厅、工业和信息化委</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用水用气报装的企业内部流程办理时间压缩至15个工作日内。</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全区各供水供电企业，自治区住房城乡建设厅、工业和信息化委</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推进环境保护、职业卫生、建工、交通运输等行业检验检测机构相关资质认定和资格许可联合评审和信息共享，推动全社会采信认证结果。</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自治区质监局、农业厅、食品药品监管局、环境保护厅、安全监管局、住房城乡建设厅、交通运输厅、卫生计生委</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推行行政许可技术审查政府购买服务。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累计培育并力争超过6个企业（组织）获中国质量奖（含提名奖）、30个获自治区主席质量奖（提名奖），创建广西名牌产品超过2000个。</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积极组织申报并力争获国家地理标志保护产品累计超过100个。</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优化完善广西地方标准信息服务平台，新增企业产品标准全部在国家标准委企业标准信息公开服务平台上自我声明公开。制定20个团体标准。</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新增电子信息、新能源电动车、新材料、大健康等战略性新兴产业检验检测能力100项。</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三、营造更加公平良好的融资环境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29</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开展金融扶贫政策效果评估，确保深度贫困地区每年贷款增速不低于全区贷款平均增速。</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人民银行南宁中心支行，广西金融扶贫工作厅际联席会议其他成员单位</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30</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继续落实对符合条件成功发行债务融资工具的企业和符合条件为广西企业发行股票及债务融资工具提供主承销服务的金融机构的奖励政策。</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自治区金融办、财政厅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31</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继续落实小企业贷款风险补偿专项资金支持政策，及时组织申报并拨付符合条件的自治区小企业贷款风险补偿资金。</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自治区工业和信息化委、财政厅、金融办，人民银行南宁中心支行，广西银监局</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32</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持续推动动产抵押登记电子化，为营造宽松、便捷、高效的融资环境提供保障。</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自治区工商局，人民银行南宁中心支行，广西银监局</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四、营造更加简便减负的税费服务环境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33</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2020年1月1日至2020年12月31日，对月销售额不超过3万元（按季纳税9万元）的增值税小规模纳税人，免征增值税。</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34</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2020年1月1日至2020年12月31日，将享受减半征收企业所得税优惠政策的小微企业年应纳税所得额上限从50万元提高到100万元。</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35</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企业在2020年1月1日至2020年12月31日期间新购进的设备、器具，单位价值不超过500万元的，允许一次性计入当期成本费用在计算应纳税所得额时扣除，不再分年度计算折旧</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36</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2020年1月1日至2020年12月31日，对金融机构与小型企业、微型企业签订的借款合同免征印花税。</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37</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2020年1月1日至2020年12月31日，企业、事业单位改制、重组符合政策规定的，享受契税减免政策。</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38</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2020年1月1日至2020年12月31日，对企业暂停征收地方水利建设基金。</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广西壮族自治区税务局、自治区财政厅、水利厅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2020年1月1日至2020年12月31日，各设区市执行阶段性降低基本医疗保险缴费比例政策，具体降低费率政策由各设区市自行制定。</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自治区人力资源社会保障厅、财政厅，各设区市人民政府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工伤保险实际平均费率由原来的1%降至0.75%，其中一类至八类行业的工伤保险费率分别按该行业用人单位职工工资总额的0.2%、0.4%、0.7%、0.9%、1.1%、1.3%、1.6%、1.9%缴纳。实施工伤保险浮动费率政策，二类至八类行业，上个浮动周期工伤保险支缴率小于等于20%，同时工伤发生率小于等于3‰的，费率下浮至其所在行业基准费率的50%；上个浮动周期工伤保险支缴率大于20%且小于等于40%，同时工伤发生率小于等于3‰的，费率下浮至其所在行业基准费率的80%。</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自治区人力资源社会保障厅、财政厅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2020年1月1日至2020年12月31日，对生育保险基金结存量超过9个月的设区市，要结合当地实际，执行0.5%的生育保险费率。</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自治区人力资源社会保障厅、卫生计生委、财政厅，各设区市人民政府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对90%以上通过线上实名认证的纳税人按不同类型、不同经济特征提供多渠道的税收政策、税收优惠精准化推送服务，帮助纳税人切实享受政策红利。</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全区各级税务部门全面建成“一个尺度”、“一个标准”的执法体系。</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自治区政府信用信息共享交换平台实现可调取数据的材料，不再要求纳税人重复提供。</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进一步扩大纳税信用贷款直连机制，引导纳税人凭借自身良好纳税信用快速获取银行授信。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广西壮族自治区税务局，各银行业金融机构</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将近年以来各项税收优惠政策执行情况及其效果进行综合分析并协助优化营商环境政策调整。</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将获取的第三方涉税信息纳入到提示、提醒指标当中，持续优化涉税风险提示提醒。</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将电子文书进一步拓展至日常业务当中，实现电子文书在日常业务办理过程中，全面取代纸质文书。</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促进工商登记环节的实名登记与税务管理环节的实名登记深度融合，实现一次采集，全面生效。</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广西壮族自治区税务局、自治区工商局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50</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将“一站式办理房产交易涉税业务”的工作模式在全区推广。</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广西壮族自治区税务局，全区各级不动产登记部门、民政部门、公安机关</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51</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在符合监管要求的前提下，通过互联网多渠道缴税方式，为自然人办理涉税业务提供微信、支付宝等电子缴税服务。</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广西壮族自治区税务局，人民银行南宁中心支行</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五、营造更加优质充足的人力资源环境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52</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提供在互联网办理人才落户业务事项的在线申报、在线受理、在线预约等服务。</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53</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全面为来桂外籍人才办理出入境证件提供网上服务。</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六、营造更加快捷通畅的通关环境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54</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完成防城港口岸（渔澫港区第五作业区513#—516#泊位）、友谊关口岸（弄尧通道）、龙邦口岸（扩大开放）、峒中口岸（含里火通道）开放。</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自治区商务厅，南宁海关，武警广西边防总队，广西海事局，广西北部湾国际港务集团有限公司，相关设区市人民政府</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55</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推行人员、车辆边检自助通关，完成硕龙、峒中等口岸人员、车辆自助查验系统，以及东兴边民互市区车辆自助查验系统建设，实现对全区重点口岸和边民互市贸易区自助通关模式全覆盖。</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武警广西边防总队，相关设区市人民政府</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56</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推行国际航行船舶智能分类查验，完善业务流程，在全部水运口岸实施船舶查验差异化管理。</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自治区商务厅（口岸办），广西海事局，南宁海关，武警广西边防总队等</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57</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南向通道综合信息平台三期将实现广西、重庆、贵州、甘肃等中新互联互通南向通道沿线省（区、市）口岸物流信息共享，并整合新加坡及东盟各主要港口码头、货主、集装箱运输企业、货代、船代、口岸通关等资源，实现与国外物流数据接口的对接，并打造完成智慧物流体系。</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自治区商务厅，南宁海关，武警广西边防总队，广西海事局，广西北部湾国际港务集团有限公司，中国—东盟信息港股份有限公司等</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58</w:t>
            </w:r>
          </w:p>
        </w:tc>
        <w:tc>
          <w:tcPr>
            <w:tcW w:w="747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在全区各口岸全面推广应用通关时效系统，推动搭建口岸通关效能大数据平台，进一步提高数据分析的完整性、实时性和准确性，全面提升广西口岸管理信息化水平。</w:t>
            </w:r>
          </w:p>
        </w:tc>
        <w:tc>
          <w:tcPr>
            <w:tcW w:w="34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自治区商务厅，南宁海关，武警广西边防总队，广西海事局，广西北部湾国际港务集团有限公司等</w:t>
            </w:r>
          </w:p>
        </w:tc>
        <w:tc>
          <w:tcPr>
            <w:tcW w:w="1591"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七、营造更加奖惩分明的信用环境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依托自治区公共信用信息平台，依法建立跨地区、跨部门、覆盖全区的信用奖惩联动机制，实现对守信市场主体在办理融资、政策扶持、公共资源交易等领域予以支持及倾斜，同时限制失信市场主体获得相应办事便利。</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自治区发展改革委，人民银行南宁中心支行，广西社会信用体系建设联席会议其他成员单位，各设区市人民政府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各设区市完成本级《政府部门涉企信息归集资源目录》动态更新。</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自治区工商局，全区各行政许可部门、行政执法部门，各设区市人民政府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建立并完善我区企业信用修复机制。</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自治区工商局、发展改革委，广西社会信用体系建设联席会议其他成员单位</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八、营造更加规范公正的法治环境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建立对涉企犯罪的常态化打击防范机制，切实维护企业良好治安秩序</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推广运用电子化手段，对“双随机”抽查做到全程电子记录保存，及时向社会公布抽查结果。</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自治区工商局，自治区各有关部门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通过“行政执法监督+”模式，有效整合内部监督和外部监督，形成一整套行政执法监督体系。</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自治区政管办、法制办，全区各级行政执法部门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组织开展涉企执法专项检查和案件评查，重点检查各地涉企办案中有关涉案财产处置、取保候审保证金收取退还等情况。</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建立公安机关全面服务辖区企业工作制度，维护、发展企业合法权益</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制定出台涉刑事案件案财产处置司法指导意见。</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自治区高级法院，自治区检察院，自治区公安厅、司法厅、财政厅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加强涉企业民商事案件立案工作，力争涉企业民商事纠纷当场立案率达95%以上。</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rPr>
            </w:pPr>
            <w:r>
              <w:rPr>
                <w:rFonts w:hint="eastAsia" w:eastAsia="方正书宋_GBK"/>
                <w:snapToGrid w:val="0"/>
                <w:color w:val="000000"/>
                <w:sz w:val="21"/>
                <w:szCs w:val="21"/>
              </w:rPr>
              <w:t>在全区三级法院诉讼服务中心设置和规范诉调对接平台建设，通过对接平台的委派调解，力争20%以上同期立案庭受理的民商事案件实现快速审判。</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自治区高级法院，自治区司法厅、商务厅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推进仲裁制度改革，完善诉讼与调解对接、仲裁与调解对接、公证与调解对接，全区涉企业民商事仲裁案件适用先行调解率达到70%。</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自治区法制办、司法厅、商务厅，自治区高级法院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71</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全面推进全区三级法院在线调解工作。</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72</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实现经济犯罪案件受案立案规范化，切实解决不当立案和该立不立的问题，实现对经济犯罪案件侦办工作实时网上监督、纠错。</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自治区各级公安机关、检察机关、人民法院</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73</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制定出台知识产权侵权赔偿裁判标准指导性文件。</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74</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推动全区三级法院破产审判专业化建设，全区各中级法院和辖区内至少一个基层法院组建破产审判专业化团队。</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75</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推动成立破产管理人协会。</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自治区司法厅，自治区高级法院</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76</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各市县参照自治区府院联动机制模式，分级建立，分级负责，分级运行。</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自治区高级法院，自治区检察院，自治区公安厅、司法厅、国资委、工业和信息化委、人力资源社会保障厅、工商局，广西壮族自治区税务局，广西银监局，人民银行南宁中心支行</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77</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针对重点领域和敏感问题至少开展一次整治虚假违法广告专项行动。</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自治区工商局，广西整治虚假违法广告厅际联席会议其他成员单位，各设区市人民政府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九、构建更加亲商安商的政商关系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78</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完善政企工作联系机制。全区各级党委、政府要建立完善政企沟通渠道，制定党政领导联系企业分工表，各市县党政领导每年到联系的企业考察调研不少于2次。</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自治区投资促进局，各市、县（市、区）党委、人民政府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79</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积极搭建政企沟通平台。各市县要召开1—2次由党政领导参加的政企联席会、座谈会，听取企业家意见建议，帮助解决企业实际困难。</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各市、县（市、区）党委、人民政府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80</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制定自治区党政领导协调推进招商引资重点项目联系表，明确责任领导和部门，强化协调服务。</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自治区投资促进局</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81</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梳理制定招商引资重点项目清单和问题清单。</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自治区、市、县三级投资（招商）促进机构</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2020年12月底</w:t>
            </w:r>
          </w:p>
        </w:tc>
      </w:tr>
    </w:tbl>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ZFSK--GBK1-0">
    <w:altName w:val="宋体"/>
    <w:panose1 w:val="00000000000000000000"/>
    <w:charset w:val="86"/>
    <w:family w:val="auto"/>
    <w:pitch w:val="default"/>
    <w:sig w:usb0="00000000" w:usb1="00000000" w:usb2="00000010" w:usb3="00000000" w:csb0="00040001" w:csb1="00000000"/>
  </w:font>
  <w:font w:name="Batang">
    <w:panose1 w:val="02030600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DengXian Light">
    <w:altName w:val="PMingLiU"/>
    <w:panose1 w:val="00000000000000000000"/>
    <w:charset w:val="88"/>
    <w:family w:val="auto"/>
    <w:pitch w:val="default"/>
    <w:sig w:usb0="00000000" w:usb1="00000000" w:usb2="00000010" w:usb3="00000000" w:csb0="00100000" w:csb1="00000000"/>
  </w:font>
  <w:font w:name="方正小标宋_GBK">
    <w:panose1 w:val="03000509000000000000"/>
    <w:charset w:val="86"/>
    <w:family w:val="script"/>
    <w:pitch w:val="default"/>
    <w:sig w:usb0="00000001" w:usb1="080E0000" w:usb2="00000000" w:usb3="00000000" w:csb0="00040000" w:csb1="00000000"/>
  </w:font>
  <w:font w:name="宋体_x0004_fal">
    <w:altName w:val="宋体"/>
    <w:panose1 w:val="00000000000000000000"/>
    <w:charset w:val="86"/>
    <w:family w:val="auto"/>
    <w:pitch w:val="default"/>
    <w:sig w:usb0="00000000" w:usb1="00000000" w:usb2="00000010" w:usb3="00000000" w:csb0="00040000" w:csb1="00000000"/>
  </w:font>
  <w:font w:name="黑体_x0004_fal">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50DCB"/>
    <w:rsid w:val="24171F74"/>
    <w:rsid w:val="29650D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2018-10-26T06:21:00Z</dcterms:created>
  <dc:creator>dengd</dc:creator>
  <cp:lastModifiedBy>dengd</cp:lastModifiedBy>
  <dcterms:modified xsi:type="dcterms:W3CDTF">2018-10-26T06:21:55Z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