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方正黑体_GBK" w:eastAsia="方正黑体_GBK"/>
          <w:snapToGrid w:val="0"/>
          <w:color w:val="000000"/>
          <w:sz w:val="32"/>
          <w:szCs w:val="32"/>
          <w:lang w:eastAsia="ar-SA"/>
        </w:rPr>
      </w:pPr>
      <w:r>
        <w:rPr>
          <w:rFonts w:hint="eastAsia" w:ascii="方正黑体_GBK" w:eastAsia="方正黑体_GBK"/>
          <w:snapToGrid w:val="0"/>
          <w:color w:val="000000"/>
          <w:sz w:val="32"/>
          <w:szCs w:val="32"/>
        </w:rPr>
        <w:t>附件2</w:t>
      </w:r>
    </w:p>
    <w:p>
      <w:pPr>
        <w:adjustRightInd w:val="0"/>
        <w:snapToGrid w:val="0"/>
        <w:spacing w:line="590" w:lineRule="exact"/>
        <w:ind w:firstLine="640" w:firstLineChars="200"/>
        <w:rPr>
          <w:rFonts w:hint="eastAsia" w:eastAsia="方正仿宋_GBK" w:cs="宋体"/>
          <w:bCs/>
          <w:snapToGrid w:val="0"/>
          <w:color w:val="000000"/>
          <w:sz w:val="32"/>
          <w:szCs w:val="32"/>
        </w:rPr>
      </w:pPr>
    </w:p>
    <w:p>
      <w:pPr>
        <w:adjustRightInd w:val="0"/>
        <w:snapToGrid w:val="0"/>
        <w:spacing w:line="590" w:lineRule="exact"/>
        <w:jc w:val="center"/>
        <w:rPr>
          <w:rFonts w:hint="eastAsia" w:ascii="方正小标宋_GBK" w:eastAsia="方正小标宋_GBK" w:cs="方正小标宋_GBK"/>
          <w:bCs/>
          <w:snapToGrid w:val="0"/>
          <w:color w:val="000000"/>
          <w:sz w:val="44"/>
          <w:szCs w:val="44"/>
        </w:rPr>
      </w:pPr>
      <w:bookmarkStart w:id="0" w:name="_GoBack"/>
      <w:r>
        <w:rPr>
          <w:rFonts w:hint="eastAsia" w:ascii="方正小标宋_GBK" w:eastAsia="方正小标宋_GBK" w:cs="方正小标宋_GBK"/>
          <w:bCs/>
          <w:snapToGrid w:val="0"/>
          <w:color w:val="000000"/>
          <w:sz w:val="44"/>
          <w:szCs w:val="44"/>
        </w:rPr>
        <w:t>全区优化营商环境大行动实施方案2019年重点任务清单</w:t>
      </w:r>
    </w:p>
    <w:bookmarkEnd w:id="0"/>
    <w:p>
      <w:pPr>
        <w:adjustRightInd w:val="0"/>
        <w:snapToGrid w:val="0"/>
        <w:spacing w:line="590" w:lineRule="exact"/>
        <w:ind w:firstLine="640" w:firstLineChars="200"/>
        <w:rPr>
          <w:rFonts w:hint="eastAsia" w:eastAsia="方正仿宋_GBK" w:cs="宋体"/>
          <w:bCs/>
          <w:snapToGrid w:val="0"/>
          <w:color w:val="000000"/>
          <w:sz w:val="32"/>
          <w:szCs w:val="32"/>
        </w:rPr>
      </w:pPr>
    </w:p>
    <w:tbl>
      <w:tblPr>
        <w:tblStyle w:val="3"/>
        <w:tblW w:w="13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7"/>
        <w:gridCol w:w="7475"/>
        <w:gridCol w:w="3485"/>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黑体_GBK" w:eastAsia="方正黑体_GBK" w:cs="宋体"/>
                <w:bCs/>
                <w:snapToGrid w:val="0"/>
                <w:color w:val="000000"/>
                <w:sz w:val="21"/>
                <w:szCs w:val="21"/>
                <w:lang w:eastAsia="ar-SA"/>
              </w:rPr>
            </w:pPr>
            <w:r>
              <w:rPr>
                <w:rFonts w:hint="eastAsia" w:ascii="方正黑体_GBK" w:eastAsia="方正黑体_GBK" w:cs="宋体"/>
                <w:bCs/>
                <w:snapToGrid w:val="0"/>
                <w:color w:val="000000"/>
                <w:sz w:val="21"/>
                <w:szCs w:val="21"/>
              </w:rPr>
              <w:t>序号</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黑体_GBK" w:eastAsia="方正黑体_GBK" w:cs="宋体"/>
                <w:bCs/>
                <w:snapToGrid w:val="0"/>
                <w:color w:val="000000"/>
                <w:sz w:val="21"/>
                <w:szCs w:val="21"/>
                <w:lang w:eastAsia="ar-SA"/>
              </w:rPr>
            </w:pPr>
            <w:r>
              <w:rPr>
                <w:rFonts w:hint="eastAsia" w:ascii="方正黑体_GBK" w:eastAsia="方正黑体_GBK" w:cs="宋体"/>
                <w:bCs/>
                <w:snapToGrid w:val="0"/>
                <w:color w:val="000000"/>
                <w:sz w:val="21"/>
                <w:szCs w:val="21"/>
              </w:rPr>
              <w:t>重点工作任务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黑体_GBK" w:eastAsia="方正黑体_GBK" w:cs="宋体"/>
                <w:bCs/>
                <w:snapToGrid w:val="0"/>
                <w:color w:val="000000"/>
                <w:sz w:val="21"/>
                <w:szCs w:val="21"/>
                <w:lang w:eastAsia="ar-SA"/>
              </w:rPr>
            </w:pPr>
            <w:r>
              <w:rPr>
                <w:rFonts w:hint="eastAsia" w:ascii="方正黑体_GBK" w:eastAsia="方正黑体_GBK" w:cs="宋体"/>
                <w:bCs/>
                <w:snapToGrid w:val="0"/>
                <w:color w:val="000000"/>
                <w:sz w:val="21"/>
                <w:szCs w:val="21"/>
              </w:rPr>
              <w:t>责任单位</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黑体_GBK" w:eastAsia="方正黑体_GBK" w:cs="宋体"/>
                <w:bCs/>
                <w:snapToGrid w:val="0"/>
                <w:color w:val="000000"/>
                <w:sz w:val="21"/>
                <w:szCs w:val="21"/>
                <w:lang w:eastAsia="ar-SA"/>
              </w:rPr>
            </w:pPr>
            <w:r>
              <w:rPr>
                <w:rFonts w:hint="eastAsia" w:ascii="方正黑体_GBK" w:eastAsia="方正黑体_GBK" w:cs="宋体"/>
                <w:bCs/>
                <w:snapToGrid w:val="0"/>
                <w:color w:val="000000"/>
                <w:sz w:val="21"/>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一、营造更加高效便民的政务环境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建成全区项目云服务平台，联通自治区相关审批监管部门审批系统，实现所有项目纳入在线并联审批。</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自治区发展改革委，自治区各有关部门，各市、县（市、区）人民政府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各类开发区、产业园区、现代服务业集聚区、试验区等基本完成“区域性评估”工作，评估成果对入园项目免费共享。</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自治区工业和信息化委、发展改革委，自治区各有关部门，各市、县（市、区）人民政府，各园区管委会</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按照“最多跑一次”的要求，推进市级相关办理事项归并整合。</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按照“最多跑一次”的要求，推进县、乡镇级相关办理事项归并整合。</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在市、县、乡三级推行“前台综合受理、后台分类审批、综合窗口出件”的审批模式。建设全区政务服务“一窗受理”信息平台，实现“一窗受理”、“一事通办”。</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各市县建立健全的“一事通办”制度保障体系。</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逐项编制市、县、乡三级“一事通办”一次性告知办事指南和标准化工作流程。</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全面建成政务服务“一张网”，90%以上的依申请行政权力事项和公共服务事项办理实现“最多跑一次”。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建立“乡镇（街道）、村（社区）前台综合受理，县级后台分类办理，乡镇（街道）、村（社区）统一窗口出件”的服务流程。</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10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建立完善政务知识库，将涉及“一事通办”改革的政务服务事项纳入知识库。</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11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在企业注册登记受理环节向公安部门推送印章刻制相关数据，完成企业注册登记的同时，实时向税务部门推送共享信息。修改和完善数据交互方案。</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自治区工商局、公安厅，广西壮族自治区税务局，自治区政管办</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12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制定并实施不动产交易、登记、税收 “一窗受理、并联办理”方案，建立信息互通共享机制，整合业务流程，调整窗口设置，全区实现不动产登记“一窗受理、并联办理”。</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自治区国土资源厅、住房城乡建设厅，广西壮族自治区税务局，各市、县（市、区）人民政府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13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市县制定完善有关并联审批工作制度，开发建立全区统一的房屋建筑和市政基础设施工程施工图审查管理信息系统，实现审查申报、合同签订、施工图审查、质量检查、统计分析及资料归档等内容全程无纸化，过程文件资料自动电子存档，做到全过程留痕。确保施工许可办理120个工作日内完成。</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自治区住房城乡建设厅，自治区各有关部门，各市、县（市、区）人民政府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14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扩大“容缺受理”事项范围。建立县乡级的“容缺受理”制度，制定动态调整的“容缺受理”事项清单。</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自治区政管办，自治区具有行政审批权限的部门，各市、县（市、区）人民政府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rPr>
            </w:pPr>
            <w:r>
              <w:rPr>
                <w:rFonts w:hint="eastAsia" w:eastAsia="方正书宋_GBK" w:cs="宋体"/>
                <w:snapToGrid w:val="0"/>
                <w:color w:val="000000"/>
                <w:sz w:val="21"/>
                <w:szCs w:val="21"/>
              </w:rPr>
              <w:t>进一步压缩企业开办时间。在14个设区市及部分县（市、区）实现企业开办手续3个工作日内完成。</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rPr>
            </w:pPr>
            <w:r>
              <w:rPr>
                <w:rFonts w:hint="eastAsia" w:eastAsia="方正书宋_GBK" w:cs="宋体"/>
                <w:snapToGrid w:val="0"/>
                <w:color w:val="000000"/>
                <w:sz w:val="21"/>
                <w:szCs w:val="21"/>
              </w:rPr>
              <w:t>自治区工商局，自治区各有关部门，各设区市人民政府，相关县（市、区）人民政府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在全区范围内推行“证照分离”改革，进一步减少行政审批和准入限制，实现“持照可营”。</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自治区工商局、编办、法制办，各设区市人民政府，相关园区管委会</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在全区推行企业名称自主申报制度。</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升级改造各自业务系统，以统一社会信用代码为标识，建立部门间数据项对应关系，确保信息共享。</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自治区工商局，自治区“多证合一”改革参与部门</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完成《广西工商登记后置审批事项目录》相关事项经营范围规范表述的整理，进一步完善企业登记信息“双告知”制度。</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自治区工商局，自治区“多证合一”改革参与部门</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规范对全程电子化企业登记档案的管理，建立电子档案目录，出台电子登记档案存储标准和管理模式，向社会公众提供电子登记档案信息查询服务，实现电子登记档案和书式影像档案在档案查询系统的统一查询利用。</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自治区工商局、公安厅，广西壮族自治区税务局，自治区政管办</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21</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逐步扩大个体工商户的简易注销改革范围，完善市场主体的退出机制。</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自治区工商局、人力资源社会保障厅、商务厅，广西壮族自治区税务局</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22</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制定符合广西实际的双随机抽查工作指引，对检查规范、结果认定标准、结果录入、会商研判、审核批准、公示发布、监督问责机制等环节实现制度化和标准化管理。</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自治区工商局，自治区商事制度改革部门联席会议其他成员单位</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23</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依托国家企业信用信息公示系统双随机监管中检查结果公示模块，实现各部门双随机检查结果的定向归集与集中批量公示。</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自治区工商局，自治区商事制度改革部门联席会议其他成员单位，各设区市商事制度改革联席会议各成员单位</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24</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建立信用分类标准与差异化双随机抽查制度规范。</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自治区工商局，自治区商事制度改革部门联席会议其他成员单位</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25</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建设6个自治区级商标品牌创业创新基地。</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26</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出台商标品牌奖励办法，落实奖励资金。</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自治区工商局、财政厅，自治区相关部门，各市、县（市、区）人民政府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27</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组织开展广西品牌价值排行榜100强、行业前10强以及区域品牌评价活动，每年发布《广西商标品牌发展报告》和《广西商标品牌价值排行榜》等。</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28</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建立广西商标品牌保护名录，将遭受侵权和易于受到侵权的知名商标品牌纳入保护名录，对恶意抢注行为由工商部门协调商标审协中心加以审查，严格把关。</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自治区工商局、商务厅、科技厅、公安厅、质监局</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29</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加强与世界知识产权组织以及欧盟、非洲知识产权组织的交流与合作，在广西区域内建立2个商标品牌国际注册、运用、管理和保护的培训基地。</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自治区工商局，自治区相关部门，各设区市人民政府</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30</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积极推动成立中国—东盟商标品牌研究中心（院）</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自治区工商局、商务厅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各市县完成在辖区范围内划定1—2个场所和时间段，设立无须办理证照即可经营销售农副产品、日常生活用品或利用自身技能从事依法无需取得许可的便民劳务活动经营区域。</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调整完善自治区查处取缔无证无照经营联席会议制度，开展一次查处无证无照经营专项行动。</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自治区工商局，自治区查处取缔无证无照经营联席会议其他成员单位，各市、县（市、区）人民政府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建立消费者权益保护部门协作机制，推出“放心消费”创建指标体系，制定相关标准；采取多种形式大力宣传，进一步推动重点行业重点领域经营主体踊跃参加创建；每个县要创建2条以上“放心消费”示范街。</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把市场经营活动包容机制的政策列入年度普法宣传计划，落实“谁普法谁执法”责任。对该项工作组织一次中期检查。</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不定期组织有关部门对全区营商环境建设工作开展专项督查，每年向自治区党委、自治区人民政府报告投资投诉办理情况。</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自治区投资促进局，自治区投资促进委员会其他成员单位</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建立负面清单、收费清单，行政职权及依据、监管事项、对应责任、行使主体、方法程序、处罚措施等以清单形式向社会公示，接受社会监督，在涉企执法部门实现“双随机一公开”监管全覆盖。</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自治区工商局、政管办、编办、法制办，自治区各有关部门，各设区市人民政府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定期监测分析和掌握我区企业投资运行成本情况，研究提出降本增效的改进措施。</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自治区物价局、工业和信息化委，各设区市人民政府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全区各级行政执法、审批部门要邀请商会、协会及企业代表担任社会监督员，监督政府部门依法行政。</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全区各级行政执法、审批部门</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39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落实《公平竞争审查制度实施细则（暂行）》，全面清理全区各级政府与企业新签订的各类合作协议和相关的规范性文件，对不符合公平竞争原则的要立即纠正。</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自治区物价局、财政厅、商务厅、工商局、法制办</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构建统一身份认证、统一电子印章、统一电子证照共享3个支撑平台，打造全区统一的政务服务第三方应用程序（APP），方便企业群众办事。</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编制发布行政权力中介服务清单，并实行动态管理</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自治区编办，自治区各有关部门，各市、县（市、区）人民政府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二、营造更加利企降本的建设经营环境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2019年计划盘活1.47万公顷存量建设用地。</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自治区国土资源厅，各设区市人民政府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依托“三级联审”建设用地报批系统，实现建设用地报件和审查意见报告自动生成、报件质量自动检测审核。</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自治区国土资源厅，各市、县（市、区）国土资源局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取消广西主干管道紧邻建设的南宁分输站、桂林分输站、梧州长洲分输站、梧州苍梧分输站和防城港公车分输站管输价格；适时推进成本监审，并根据价格成本监审情况，重新合理核定广西广投天然气有限公司管网管输价格。</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自治区物价局、能源局，相关市、县（市、区）人民政府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持续推进有效减少接火送电等待时间，优化停电计划安排，优先安排高压接入电网部分施工，高压接入与停电计划同步完成，有效减少重复停电，最大限度压缩报装时限，其中低压用户办理时限10个工作日，高压单电源35个工作日，高压双电源45个工作日。</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全区各电网企业，自治区工业和信息化委</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实现行政审批系统数据的开放共享、完成电子证照库建设，让更多事项纳入“零跑腿”或“最多跑一次”事项。</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自治区质监局、安全监管局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推进环境保护、职业卫生、建工、交通运输等行业检验检测机构相关资质认定和资格许可联合评审和信息共享，推动全社会采信认证结果。</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自治区质监局、农业厅、食品药品监管局、环境保护厅、安全监管局、住房城乡建设厅、交通运输厅、卫生计生委</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大力推行行政许可技术审查政府购买服务。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49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开展年度广西名牌产品认定工作，争取认定广西名牌产品150个。</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积极组织申报并力争获国家地理标志保护产品累计超过95个。</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优化完善广西地方标准信息服务平台，免费公开600项广西地方标准。新增企业产品标准全部在国家标准委企业标准信息公开服务平台上自我声明公开。制定20个团体标准。</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新增电子信息、新能源电动车、新材料、大健康等战略性新兴产业检验检测能力100项。</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自治区质监局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三、营造更加公平良好的融资环境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53</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开展金融扶贫政策效果评估，确保深度贫困地区每年贷款增速不低于全区贷款平均增速。</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人民银行南宁中心支行，广西金融扶贫工作厅际联席会议其他成员单位</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54</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继续落实对符合条件成功发行债务融资工具的企业和符合条件为广西企业发行股票及债务融资工具提供主承销服务的金融机构的奖励政策。</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自治区金融办、财政厅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55</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继续落实小企业贷款风险补偿专项资金支持政策，及时组织申报并拨付符合条件的自治区小企业贷款风险补偿资金。</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自治区工业和信息化委、财政厅、金融办，人民银行南宁中心支行，广西银监局</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56</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持续推动动产抵押登记电子化，为营造宽松、便捷、高效的融资环境提供保障。</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shd w:val="clear" w:color="auto" w:fill="FFFFFF"/>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自治区工商局，人民银行南宁中心支行，广西银监局</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四、营造更加简便减负的税费服务环境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57</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2019年1月1日至2019年12月31日，对月销售额不超过3万元（按季纳税9万元）的增值税小规模纳税人，免征增值税。</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58</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2018年1月1日至2019年12月31日，对金融机构向农户、小型企业、微型企业及个体工商户发放小额贷款取得的利息收入，免征增值税。</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59</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2019年1月1日至2019年12月31日，将享受减半征收企业所得税优惠政策的小微企业年应纳税所得额上限从50万元提高到100万元。</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60</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企业在2019年1月1日至2019年12月31日期间新购进的设备、器具，单位价值不超过500万元的，允许一次性计入当期成本费用在计算应纳税所得额时扣除，不再分年度计算折旧</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61</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2019年1月1日至2019年12月31日，对金融机构与小型企业、微型企业签订的借款合同免征印花税。</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62</w:t>
            </w:r>
          </w:p>
        </w:tc>
        <w:tc>
          <w:tcPr>
            <w:tcW w:w="747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2019年1月1日至2019年12月31日，企业、事业单位改制、重组符合政策规定的，享受契税减免政策。</w:t>
            </w:r>
          </w:p>
        </w:tc>
        <w:tc>
          <w:tcPr>
            <w:tcW w:w="3485"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广西壮族自治区税务局、自治区财政厅</w:t>
            </w:r>
          </w:p>
        </w:tc>
        <w:tc>
          <w:tcPr>
            <w:tcW w:w="1591" w:type="dxa"/>
            <w:tcBorders>
              <w:top w:val="single" w:color="auto" w:sz="4" w:space="0"/>
              <w:left w:val="single" w:color="auto" w:sz="4" w:space="0"/>
              <w:bottom w:val="single" w:color="auto" w:sz="4" w:space="0"/>
              <w:right w:val="single" w:color="auto" w:sz="4" w:space="0"/>
            </w:tcBorders>
            <w:tcMar>
              <w:top w:w="40" w:type="dxa"/>
              <w:bottom w:w="40"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63</w:t>
            </w:r>
          </w:p>
        </w:tc>
        <w:tc>
          <w:tcPr>
            <w:tcW w:w="747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2019年1月1日至2019年12月31日，对企业暂停征收地方水利建设基金。</w:t>
            </w:r>
          </w:p>
        </w:tc>
        <w:tc>
          <w:tcPr>
            <w:tcW w:w="34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广西壮族自治区税务局、自治区财政厅、水利厅</w:t>
            </w:r>
          </w:p>
        </w:tc>
        <w:tc>
          <w:tcPr>
            <w:tcW w:w="1591"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64</w:t>
            </w:r>
          </w:p>
        </w:tc>
        <w:tc>
          <w:tcPr>
            <w:tcW w:w="747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2019年1月1日至2019年4月30日，实施阶段性降低企业职工基本养老保险费费率政策。单位缴费比例由20%降至19%。对自治区级及以上产业园区的工业企业，由参保地同级人民政府予以单位缴费比例5%的补贴。</w:t>
            </w:r>
          </w:p>
        </w:tc>
        <w:tc>
          <w:tcPr>
            <w:tcW w:w="34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自治区人力资源社会保障厅、工业和信息化委、财政厅，各市、县（市、区）人民政府</w:t>
            </w:r>
          </w:p>
        </w:tc>
        <w:tc>
          <w:tcPr>
            <w:tcW w:w="1591"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2019年4月底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65</w:t>
            </w:r>
          </w:p>
        </w:tc>
        <w:tc>
          <w:tcPr>
            <w:tcW w:w="747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2019年1月1日至2019年4月30日，继续实施阶段性降低失业保险费率政策，将我区失业保险单位缴费比例由1.5%降至0.5%。</w:t>
            </w:r>
          </w:p>
        </w:tc>
        <w:tc>
          <w:tcPr>
            <w:tcW w:w="34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自治区人力资源社会保障厅、财政厅，各设区市人民政府</w:t>
            </w:r>
          </w:p>
        </w:tc>
        <w:tc>
          <w:tcPr>
            <w:tcW w:w="1591"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2019年4月底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66</w:t>
            </w:r>
          </w:p>
        </w:tc>
        <w:tc>
          <w:tcPr>
            <w:tcW w:w="747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2019年1月1日至2019年12月31日，各设区市执行阶段性降低基本医疗保险缴费比例政策，具体降低费率政策由各设区市自行制定。</w:t>
            </w:r>
          </w:p>
        </w:tc>
        <w:tc>
          <w:tcPr>
            <w:tcW w:w="34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自治区人力资源社会保障厅、财政厅，各设区市人民政府</w:t>
            </w:r>
          </w:p>
        </w:tc>
        <w:tc>
          <w:tcPr>
            <w:tcW w:w="1591"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67</w:t>
            </w:r>
          </w:p>
        </w:tc>
        <w:tc>
          <w:tcPr>
            <w:tcW w:w="747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12月31日，工伤保险实际平均费率由原来的1%降至0.75%，其中一类至八类行业的工伤保险费率分别按该行业用人单位职工工资总额的0.2%、0.4%、0.7%、0.9%、1.1%、1.3%、1.6%、1.9%缴纳。实施工伤保险浮动费率政策，二类至八类行业，上个浮动周期工伤保险支缴率小于等于20%，同时工伤发生率小于等于3‰的，费率下浮至其所在行业基准费率的50%；上个浮动周期工伤保险支缴率大于20%且小于等于40%，同时工伤发生率小于等于3‰的，费率下浮至其所在行业基准费率的80%。</w:t>
            </w:r>
          </w:p>
        </w:tc>
        <w:tc>
          <w:tcPr>
            <w:tcW w:w="34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自治区人力资源社会保障厅、财政厅，各设区市人民政府</w:t>
            </w:r>
          </w:p>
        </w:tc>
        <w:tc>
          <w:tcPr>
            <w:tcW w:w="1591"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68</w:t>
            </w:r>
          </w:p>
        </w:tc>
        <w:tc>
          <w:tcPr>
            <w:tcW w:w="747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2019年1月1日至2019年12月31日，对于生育保险基金结存量超过9个月的设区市，要结合当地实际，执行0.5%的生育保险费率。</w:t>
            </w:r>
          </w:p>
        </w:tc>
        <w:tc>
          <w:tcPr>
            <w:tcW w:w="34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自治区人力资源社会保障厅、卫生计生委、财政厅，各设区市人民政府</w:t>
            </w:r>
          </w:p>
        </w:tc>
        <w:tc>
          <w:tcPr>
            <w:tcW w:w="1591"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69</w:t>
            </w:r>
          </w:p>
        </w:tc>
        <w:tc>
          <w:tcPr>
            <w:tcW w:w="747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对90%以上通过线上实名认证的纳税人按不同类型、不同经济特征提供多渠道的税收政策、税收优惠精准化推送服务，帮助纳税人切实享受政策红利。</w:t>
            </w:r>
          </w:p>
        </w:tc>
        <w:tc>
          <w:tcPr>
            <w:tcW w:w="34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70</w:t>
            </w:r>
          </w:p>
        </w:tc>
        <w:tc>
          <w:tcPr>
            <w:tcW w:w="747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完善税收执法监督管理工作机制，开展第三方调查评估执法公平性情况，对权责清单持续维护。</w:t>
            </w:r>
          </w:p>
        </w:tc>
        <w:tc>
          <w:tcPr>
            <w:tcW w:w="34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71</w:t>
            </w:r>
          </w:p>
        </w:tc>
        <w:tc>
          <w:tcPr>
            <w:tcW w:w="747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拓展实现对已掌握或者能够通过信息交换获取的资料范围，不再要求纳税人重复提供。</w:t>
            </w:r>
          </w:p>
        </w:tc>
        <w:tc>
          <w:tcPr>
            <w:tcW w:w="3485"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tcMar>
              <w:top w:w="51" w:type="dxa"/>
              <w:bottom w:w="51" w:type="dxa"/>
            </w:tcMar>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银行形成纳税信用贷款直连机制，引导纳税人凭借自身良好纳税信用快速获取银行授信。银行业金融机构按照法律法规规定，配合税务部门依法依规查询纳税人银行账户相关信息。</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广西壮族自治区税务局，各银行业金融机构</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将2018年落地的优化营商环境税收优惠政策执行情况及其效果进行综合分析并协助优化营商环境政策调整。</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逐步完善纳税提示及风险提醒内容，促进纳税人在收到提示与提醒同时，借助网上办税渠道办理涉税事宜。</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对各类税收违法案件的失信行为进行评估与分析，提出分类惩戒标准，促进其与社会信用体系挂钩，开展有针对性的打击与惩戒。</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将税务电子文书拓展到日常业务当中，实现电子文书在日常业务办理过程中，全面取代纸质文书。</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促进税务端信息变更与工商机关信息变更的实时交换。</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广西壮族自治区税务局、自治区工商局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将“一站式办理房产交易涉税业务”范围进一步扩大。</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广西壮族自治区税务局，全区不动产登记部门、民政部门、公安机关</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79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试点推行电子完税凭证（表格式），使其与纸质完税凭证具有同等法律效力。</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将在符合监管要求的前提下，通过互联网多渠道缴税方式，为自然人办理涉税业务提供银行业统一APP（云闪付）等电子缴税服务。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广西壮族自治区税务局，人民银行南宁中心支行</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五、营造更加优质充足的人力资源环境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进一步简化人才落户手续。</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进一步简化来桂外籍人才办理出入境证件手续，最大限度缩短办理时限。</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六、营造更加快捷通畅的通关环境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完成钦州港口岸（30 万吨级油码头）、北海港口岸（铁山港北暮作业区5#—6#泊位）、友谊关口岸（浦寨通道）、龙邦口岸（扩大开放）、硕龙口岸开放。</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自治区商务厅，南宁海关，武警广西边防总队，广西海事局，广西北部湾国际港务集团有限公司，相关设区市人民政府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进一步完善全区口岸查验基础设施，根据口岸业务需要，逐步在北部湾港、友谊关、东兴、梧州港等重点口岸加快配备大型集装箱检查系统（H986）、自动消毒系统、大宗散装货物自动取制样系统及核与辐射生物化学探测仪等大型查验设备。</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自治区商务厅，南宁海关，武警广西边防总队，广西海事局，相关设区市人民政府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调整海关综合业务现场岗位设置，力争实现海关业务集中处置。完善联合登临检查业务流程并在全部水运口岸正式实施。</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自治区商务厅（口岸办），南宁海关，广西海事局，武警广西边防总队等</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推行国际航行船舶智能分类查验，完成“单一窗口”低风险船舶自动核放功能开发并对南向通道“天天班”船舶试点运行。</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自治区商务厅（口岸办），广西海事局，南宁海关，武警广西边防总队等</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依托金关二期、“智慧保税”等系统支撑，将“风险研判、分类审核”、“双随机”应用等事项融入改革，适时拓展保税监管集中审核作业改革试点范围，提升集中作业的智能化水平。</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南宁海关</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南向通道综合信息平台二期将开始进行从甘肃、重庆、贵州到广西的多省(区、市)口岸物流数据的对接，在运输、仓储、通关三大重点物流环节，实现海运、铁运、空运、汽运、水运的数据信息共享，聚合仓储、配送、港口、码头、集装箱堆场、海关的数据资源，形成南向通道区域的“一票制”、“一口价”联运服务模式。</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自治区商务厅，南宁海关，武警广西边防总队，广西海事局，广西北部湾国际港务集团有限公司，中国—东盟信息港股份有限公司等</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89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延长重点口岸货物通关时间，在东兴口岸研究实行双休日及节假日正常通关。</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自治区商务厅，南宁海关，武警广西边防总队，相关设区市人民政府等</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实时监控和评估口岸通关效率，在海港口岸应用的基础上，针对边境公路口岸业务特点，开发部署公路口岸通关时效系统，采集分析口岸查验部门通关作业、场站运营、卡口放行等业务数据，梳理优化作业流程，缓解重点口岸高峰期拥堵状况，提高边境口岸通关效率。</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自治区商务厅，南宁海关，武警广西边防总队，广西海事局，广西北部湾国际港务集团有限公司等</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行人员、车辆边检自助通关，完成龙邦、桂林（T2航站楼）、弄尧、布局、那花、水口互市区等口岸（通道）人员自助查验系统建设，完成水口、龙邦、爱店、浦寨、那花、布局等口岸（通道）车辆自助查验系统建设。</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武警广西边防总队，相关设区市人民政府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推进口岸物流作业无纸化。北部湾港Portnet系统平台投入运营，逐步实现集装箱在船公司、码头、堆场、代理公司、物流车队等各方之间实现无纸化流转交接。</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广西北部湾国际港务集团有限公司，南宁海关，武警广西边防总队，广西海事局等</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七、营造更加奖惩分明的信用环境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级人民政府建立政府守信践诺机制。出台相关管理办法，将发展规划、年度计划和政府工作报告中的经济社会发展目标落实情况，政府的合同履约、承诺兑现及为百姓办实事的践诺情况等作为评价政府诚信水平的重要内容，与党政领导班子年度考核、干部提拔使用和政策、资金、项目等支持挂钩。</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在行政管理和公共服务事项的重点领域、重点环节中试点推进使用信用记录和信用报告。</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自治区政管办、发展改革委，人民银行南宁中心支行，广西社会信用体系建设联席会议其他成员单位，各设区市人民政府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依托自治区公共信用信息平台，依法基本实现全区信用信息数据跨部门、跨行业、跨区域共享。</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自治区发展改革委，人民银行南宁中心支行，自治区各相关部门，各设区市人民政府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各设区市完成本级《政府部门涉企信息归集资源目录》动态更新。</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自治区工商局，各行政许可部门、行政执法部门，各设区市人民政府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2019年3月底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全区各级各涉企信息归集部门完成自2014年10月1日以来，有效行政许可存量信息、适用一般程序的行政处罚存量信息归集至国家企业信用信息公示系统，并公示于企业名下。</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自治区工商局，自治区各涉企信息归集部门，各市、县（市、区）人民政府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2019年1月1日起，全区各级各涉企信息归集政府部门产生的行政许可信息、适用一般程序的行政处罚信息，于信息产生之日起7个工作日内归集至国家企业信用信息公示系统、“信用中国（广西）”网站进行统一公示。</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自治区工商局、发展改革委，自治区各涉企信息归集部门，各设区市人民政府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99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2019年1月1日起，全区各行政许可部门建立诚信激励“绿色通道”，对诚信示范企业以及最近连续三年无不良信用记录的行政相对人在办理行政审批和公共服务事项时，同等条件下优先办理。全区各行政许可部门可通过国家企业信用信息公示系统查询或信用中国（广西）网站查询行政相对人信用信息。</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自治区工商局、发展改革委，全区各级行政许可部门</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扩大“信用警示企业名录库”范围，自治区各相关部门将重点领域严重违法失信当事人纳入其中，并向社会公示。</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自治区工商局、发展改革委，广西社会信用体系建设联席会议其他成员单位</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4"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八、营造更加规范公正的法治环境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开展企业生产经营和项目建设周边环境治理专项行动</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全区各级行政部门完善行政裁量权基准制度，并在单位门户网站公开。</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自治区法制办，自治区、设区市相关部门</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修改完善《广西壮族自治区全面推行重大执法决定法制审核制度的实施意见》（桂依法行政发〔2017〕6号），上升为自治区层面的制度，提请以自治区人民政府名义印发实施。</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自治区法制办，自治区各相关部门</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建立和推行涉企重大案件风险评估机制。制定并试行取保候审保证金的处置细则、刑事案件涉案款、物处置实施细则。</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自治区公安厅，自治区高级法院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pacing w:val="-2"/>
                <w:sz w:val="21"/>
                <w:szCs w:val="21"/>
                <w:lang w:eastAsia="ar-SA"/>
              </w:rPr>
            </w:pPr>
            <w:r>
              <w:rPr>
                <w:rFonts w:hint="eastAsia" w:eastAsia="方正书宋_GBK" w:cs="宋体"/>
                <w:snapToGrid w:val="0"/>
                <w:color w:val="000000"/>
                <w:spacing w:val="-2"/>
                <w:sz w:val="21"/>
                <w:szCs w:val="21"/>
              </w:rPr>
              <w:t>加强涉企业民商事案件立案工作，争取涉企业民商事纠纷当场立案率达到93%以上。</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推进仲裁制度改革，完善诉讼与调解对接、仲裁与调解对接、公证与调解对接，全区涉企业民商事仲裁案件适用先行调解率达到50%。</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自治区法制办、司法厅、商务厅，自治区高级法院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规范公证机构对涉企业的民商事纠纷法律行为，事实和文书等要依法核实和证明，争取全区涉企业民商事公证事项纠纷调解率达到30%。</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自治区司法厅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推进全区三级法院在线调解工作，选取部分试点法院率先开展在线调解工作。</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109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在全区公安机关推行规范经济犯罪案件受案立案制度。</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自治区各级公安机关、检察机关、人民法院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建立并完善公安机关与辖区企业全面联系制度，更大范围维护企业合法权益</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自治区公安厅</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111</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启动知识产权侵权赔偿裁判标准起草工作，公布一批典型案例。</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112</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建立自治区级破产费用专项启动基金及制度，各设区市参照建立相关制度。</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自治区国资委、财政厅、工业和信息化委，自治区高级法院，各设区市人民政府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113</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建立自治区级破产重整企业识别机制，各设区市参照建立相关机制。</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自治区高级法院，自治区发展改革委、国资委、工业和信息化委、财政厅，各设区市人民政府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6" w:lineRule="exact"/>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114</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建立破产案件办理简易程序，对破产案件进行繁简分流，创新简易案件快审快结模式，提升破产案件审判效率。</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115</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建立自治区、设区市两级府院联动联席协调机制，推动我区破产企业依法高效重整、和解和退出市场，实现资源整合和再利用。</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自治区高级法院、自治区检察院，自治区公安厅、司法厅、国资委、工业和信息化委、人力资源和社会保障厅、工商局，广西壮族自治区税务局，广西银监局，人民银行南宁支行，各设区市人民政府等</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116</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针对重点领域和敏感问题至少开展一次整治虚假违法广告专项行动。</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rPr>
            </w:pPr>
            <w:r>
              <w:rPr>
                <w:rFonts w:hint="eastAsia" w:eastAsia="方正书宋_GBK" w:cs="宋体"/>
                <w:snapToGrid w:val="0"/>
                <w:color w:val="000000"/>
                <w:sz w:val="21"/>
                <w:szCs w:val="21"/>
              </w:rPr>
              <w:t>自治区工商局，广西整治虚假违法广告厅际联席会议其他成员单位，各设区市人民政府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130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b/>
                <w:bCs/>
                <w:snapToGrid w:val="0"/>
                <w:color w:val="000000"/>
                <w:sz w:val="21"/>
                <w:szCs w:val="21"/>
                <w:lang w:eastAsia="ar-SA"/>
              </w:rPr>
            </w:pPr>
            <w:r>
              <w:rPr>
                <w:rFonts w:hint="eastAsia" w:eastAsia="方正书宋_GBK" w:cs="宋体"/>
                <w:b/>
                <w:bCs/>
                <w:snapToGrid w:val="0"/>
                <w:color w:val="000000"/>
                <w:sz w:val="21"/>
                <w:szCs w:val="21"/>
              </w:rPr>
              <w:t>九、构建更加亲商安商的政商关系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117</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完善政企工作联系机制。全区各级党委、政府要建立完善政企沟通渠道，制定党政领导联系企业分工表，全区各级党政领导每年到联系的企业考察调研不少于2次。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自治区投资促进局，各市、县（市、区）党委、人民政府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118</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积极搭建政企沟通平台。各市县要召开1—2次由党政领导参加的政企联席会、座谈会，听取企业家意见建议，帮助解决企业实际困难。</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各市、县（市、区）党委、人民政府</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119</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制定自治区党政领导协调推进招商引资重点项目联系表，明确责任领导和部门，强化协调服务。</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自治区投资促进局</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jc w:val="center"/>
        </w:trPr>
        <w:tc>
          <w:tcPr>
            <w:tcW w:w="5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rPr>
            </w:pPr>
            <w:r>
              <w:rPr>
                <w:rFonts w:hint="eastAsia" w:eastAsia="方正书宋_GBK" w:cs="宋体"/>
                <w:snapToGrid w:val="0"/>
                <w:color w:val="000000"/>
                <w:sz w:val="21"/>
                <w:szCs w:val="21"/>
              </w:rPr>
              <w:t>120</w:t>
            </w:r>
          </w:p>
        </w:tc>
        <w:tc>
          <w:tcPr>
            <w:tcW w:w="747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梳理制定招商引资重点项目清单和问题清单。</w:t>
            </w:r>
          </w:p>
        </w:tc>
        <w:tc>
          <w:tcPr>
            <w:tcW w:w="3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自治区、市、县三级投资（招商）促进机构</w:t>
            </w:r>
          </w:p>
        </w:tc>
        <w:tc>
          <w:tcPr>
            <w:tcW w:w="15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方正书宋_GBK" w:cs="宋体"/>
                <w:snapToGrid w:val="0"/>
                <w:color w:val="000000"/>
                <w:sz w:val="21"/>
                <w:szCs w:val="21"/>
                <w:lang w:eastAsia="ar-SA"/>
              </w:rPr>
            </w:pPr>
            <w:r>
              <w:rPr>
                <w:rFonts w:hint="eastAsia" w:eastAsia="方正书宋_GBK" w:cs="宋体"/>
                <w:snapToGrid w:val="0"/>
                <w:color w:val="000000"/>
                <w:sz w:val="21"/>
                <w:szCs w:val="21"/>
              </w:rPr>
              <w:t>2019年12月底</w:t>
            </w:r>
          </w:p>
        </w:tc>
      </w:tr>
    </w:tbl>
    <w:p/>
    <w:sectPr>
      <w:pgSz w:w="16838" w:h="11906" w:orient="landscape"/>
      <w:pgMar w:top="1417" w:right="1928" w:bottom="1417" w:left="1814"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ZFSK--GBK1-0">
    <w:altName w:val="宋体"/>
    <w:panose1 w:val="00000000000000000000"/>
    <w:charset w:val="86"/>
    <w:family w:val="auto"/>
    <w:pitch w:val="default"/>
    <w:sig w:usb0="00000000" w:usb1="00000000" w:usb2="00000010" w:usb3="00000000" w:csb0="00040001" w:csb1="00000000"/>
  </w:font>
  <w:font w:name="Batang">
    <w:panose1 w:val="02030600000101010101"/>
    <w:charset w:val="81"/>
    <w:family w:val="auto"/>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DengXian Light">
    <w:altName w:val="PMingLiU"/>
    <w:panose1 w:val="00000000000000000000"/>
    <w:charset w:val="88"/>
    <w:family w:val="auto"/>
    <w:pitch w:val="default"/>
    <w:sig w:usb0="00000000" w:usb1="00000000" w:usb2="00000010" w:usb3="00000000" w:csb0="00100000" w:csb1="00000000"/>
  </w:font>
  <w:font w:name="方正小标宋_GBK">
    <w:panose1 w:val="03000509000000000000"/>
    <w:charset w:val="86"/>
    <w:family w:val="script"/>
    <w:pitch w:val="default"/>
    <w:sig w:usb0="00000001" w:usb1="080E0000" w:usb2="00000000" w:usb3="00000000" w:csb0="00040000" w:csb1="00000000"/>
  </w:font>
  <w:font w:name="宋体_x0004_fal">
    <w:altName w:val="宋体"/>
    <w:panose1 w:val="00000000000000000000"/>
    <w:charset w:val="86"/>
    <w:family w:val="auto"/>
    <w:pitch w:val="default"/>
    <w:sig w:usb0="00000000" w:usb1="00000000" w:usb2="00000010" w:usb3="00000000" w:csb0="00040000" w:csb1="00000000"/>
  </w:font>
  <w:font w:name="黑体_x0004_fal">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D0633"/>
    <w:rsid w:val="20AD0633"/>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0"/>
      <w:szCs w:val="30"/>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2018-10-26T06:21:00Z</dcterms:created>
  <dc:creator>dengd</dc:creator>
  <cp:lastModifiedBy>dengd</cp:lastModifiedBy>
  <dcterms:modified xsi:type="dcterms:W3CDTF">2018-10-26T06:21:30Z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