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1F" w:rsidRPr="000F7E1F" w:rsidRDefault="000F7E1F" w:rsidP="000F7E1F">
      <w:pPr>
        <w:widowControl/>
        <w:shd w:val="clear" w:color="auto" w:fill="FFFFFF"/>
        <w:spacing w:line="60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F7E1F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附件</w:t>
      </w:r>
    </w:p>
    <w:p w:rsidR="000F7E1F" w:rsidRPr="000F7E1F" w:rsidRDefault="000F7E1F" w:rsidP="000F7E1F">
      <w:pPr>
        <w:widowControl/>
        <w:shd w:val="clear" w:color="auto" w:fill="FFFFFF"/>
        <w:spacing w:line="600" w:lineRule="atLeast"/>
        <w:ind w:firstLine="645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r w:rsidRPr="000F7E1F">
        <w:rPr>
          <w:rFonts w:ascii="黑体" w:eastAsia="黑体" w:hAnsi="黑体" w:cs="Times New Roman" w:hint="eastAsia"/>
          <w:color w:val="000000"/>
          <w:kern w:val="0"/>
          <w:sz w:val="36"/>
          <w:szCs w:val="36"/>
          <w:bdr w:val="none" w:sz="0" w:space="0" w:color="auto" w:frame="1"/>
        </w:rPr>
        <w:t>职责分工和进度安排表</w:t>
      </w:r>
    </w:p>
    <w:tbl>
      <w:tblPr>
        <w:tblW w:w="9290" w:type="dxa"/>
        <w:jc w:val="center"/>
        <w:tblInd w:w="-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323"/>
        <w:gridCol w:w="2315"/>
        <w:gridCol w:w="1982"/>
      </w:tblGrid>
      <w:tr w:rsidR="000F7E1F" w:rsidRPr="000F7E1F" w:rsidTr="000F7E1F">
        <w:trPr>
          <w:trHeight w:val="95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0F7E1F" w:rsidRPr="000F7E1F" w:rsidRDefault="000F7E1F" w:rsidP="000F7E1F">
            <w:pPr>
              <w:widowControl/>
              <w:spacing w:line="9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4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bdr w:val="none" w:sz="0" w:space="0" w:color="auto" w:frame="1"/>
              </w:rPr>
              <w:t>工作任务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bdr w:val="none" w:sz="0" w:space="0" w:color="auto" w:frame="1"/>
              </w:rPr>
              <w:t>责任处室（单位）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bdr w:val="none" w:sz="0" w:space="0" w:color="auto" w:frame="1"/>
              </w:rPr>
              <w:t>时间进度</w:t>
            </w:r>
          </w:p>
        </w:tc>
      </w:tr>
      <w:tr w:rsidR="000F7E1F" w:rsidRPr="000F7E1F" w:rsidTr="000F7E1F">
        <w:trPr>
          <w:trHeight w:val="77"/>
          <w:jc w:val="center"/>
        </w:trPr>
        <w:tc>
          <w:tcPr>
            <w:tcW w:w="92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一、进一步深化简政放权工作</w:t>
            </w:r>
          </w:p>
        </w:tc>
      </w:tr>
      <w:tr w:rsidR="000F7E1F" w:rsidRPr="000F7E1F" w:rsidTr="000F7E1F">
        <w:trPr>
          <w:trHeight w:val="82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进一步下放行政职权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环监局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2015年12月</w:t>
            </w:r>
          </w:p>
        </w:tc>
      </w:tr>
      <w:tr w:rsidR="000F7E1F" w:rsidRPr="000F7E1F" w:rsidTr="000F7E1F">
        <w:trPr>
          <w:trHeight w:val="37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3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3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制定行政职权运行流程图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3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各相关处室（单位）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3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2015年11月</w:t>
            </w:r>
          </w:p>
        </w:tc>
      </w:tr>
      <w:tr w:rsidR="000F7E1F" w:rsidRPr="000F7E1F" w:rsidTr="000F7E1F">
        <w:trPr>
          <w:trHeight w:val="82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清理非行政许可审批事项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各相关处室（单位）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2015年11月</w:t>
            </w:r>
          </w:p>
        </w:tc>
      </w:tr>
      <w:tr w:rsidR="000F7E1F" w:rsidRPr="000F7E1F" w:rsidTr="000F7E1F">
        <w:trPr>
          <w:trHeight w:val="82"/>
          <w:jc w:val="center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4</w:t>
            </w:r>
          </w:p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清理规范行政审批中介服务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环评处、项目处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2015年11月</w:t>
            </w:r>
          </w:p>
        </w:tc>
      </w:tr>
      <w:tr w:rsidR="000F7E1F" w:rsidRPr="000F7E1F" w:rsidTr="000F7E1F">
        <w:trPr>
          <w:trHeight w:val="12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E1F" w:rsidRPr="000F7E1F" w:rsidRDefault="000F7E1F" w:rsidP="000F7E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加快推进行政审批技术性服务机构改革为公益事业单位，积极争取财政资金支持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人事处、规财处、核安全局、监测实验中心、评估中心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75"/>
          <w:jc w:val="center"/>
        </w:trPr>
        <w:tc>
          <w:tcPr>
            <w:tcW w:w="92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二、努力提高行政审批效率</w:t>
            </w:r>
          </w:p>
        </w:tc>
      </w:tr>
      <w:tr w:rsidR="000F7E1F" w:rsidRPr="000F7E1F" w:rsidTr="000F7E1F">
        <w:trPr>
          <w:trHeight w:val="82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进一步规范行政审批事项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科技处、环评处、项目处、核安全局、固管中心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2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2016年6月</w:t>
            </w:r>
          </w:p>
        </w:tc>
      </w:tr>
      <w:tr w:rsidR="000F7E1F" w:rsidRPr="000F7E1F" w:rsidTr="000F7E1F">
        <w:trPr>
          <w:trHeight w:val="216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创新行政审批服务方式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科技处、环评处、项目处、核安全局、固管中心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2015年11月</w:t>
            </w:r>
          </w:p>
        </w:tc>
      </w:tr>
      <w:tr w:rsidR="000F7E1F" w:rsidRPr="000F7E1F" w:rsidTr="000F7E1F">
        <w:trPr>
          <w:trHeight w:val="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积极推进“串联改并联”审批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环评处、总量处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2015年11月</w:t>
            </w:r>
          </w:p>
        </w:tc>
      </w:tr>
      <w:tr w:rsidR="000F7E1F" w:rsidRPr="000F7E1F" w:rsidTr="000F7E1F">
        <w:trPr>
          <w:trHeight w:val="80"/>
          <w:jc w:val="center"/>
        </w:trPr>
        <w:tc>
          <w:tcPr>
            <w:tcW w:w="92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三、切实加强后续监管</w:t>
            </w:r>
          </w:p>
        </w:tc>
      </w:tr>
      <w:tr w:rsidR="000F7E1F" w:rsidRPr="000F7E1F" w:rsidTr="000F7E1F">
        <w:trPr>
          <w:trHeight w:val="127"/>
          <w:jc w:val="center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加强对取消、下放行政职权事中和事后监管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科技处、总量处、环评处、项目处、污防处、生态处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2016年6月</w:t>
            </w:r>
          </w:p>
        </w:tc>
      </w:tr>
      <w:tr w:rsidR="000F7E1F" w:rsidRPr="000F7E1F" w:rsidTr="000F7E1F">
        <w:trPr>
          <w:trHeight w:val="1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E1F" w:rsidRPr="000F7E1F" w:rsidRDefault="000F7E1F" w:rsidP="000F7E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加强对保留行政审批事项事中和事后监管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科技处、环评处、项目处、核安全局、固管中心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96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6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6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推进智能监管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6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环评处、项目处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6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2016年6月</w:t>
            </w:r>
          </w:p>
        </w:tc>
      </w:tr>
      <w:tr w:rsidR="000F7E1F" w:rsidRPr="000F7E1F" w:rsidTr="000F7E1F">
        <w:trPr>
          <w:trHeight w:val="8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1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1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加强环评机构及从业人员考核监管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1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环评处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81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127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发挥好网格化环境监管体系作用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环监局、核安全局、固管中心、污管中心、车管中心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127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78"/>
          <w:jc w:val="center"/>
        </w:trPr>
        <w:tc>
          <w:tcPr>
            <w:tcW w:w="92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四、积极发现和培育环保市场</w:t>
            </w:r>
          </w:p>
        </w:tc>
      </w:tr>
      <w:tr w:rsidR="000F7E1F" w:rsidRPr="000F7E1F" w:rsidTr="000F7E1F">
        <w:trPr>
          <w:trHeight w:val="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加快发展环评中介服务市场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环评处、评估中心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4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78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稳步发展环境监理中介服务市场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项目处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78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积极培育环境监测服务市场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监测处、监测实验中心、核与辐射监测中心、监控中心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  <w:tr w:rsidR="000F7E1F" w:rsidRPr="000F7E1F" w:rsidTr="000F7E1F">
        <w:trPr>
          <w:trHeight w:val="98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大力发展大气、水、固体废物、土壤污染防治和生态修复治理服务市场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科技处、污防处、生态处、辽河办、固管中心、</w:t>
            </w: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lastRenderedPageBreak/>
              <w:t>大气中心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9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lastRenderedPageBreak/>
              <w:t>全年</w:t>
            </w:r>
          </w:p>
        </w:tc>
      </w:tr>
      <w:tr w:rsidR="000F7E1F" w:rsidRPr="000F7E1F" w:rsidTr="000F7E1F">
        <w:trPr>
          <w:trHeight w:val="78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稳步发展环责险市场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环境学会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E1F" w:rsidRPr="000F7E1F" w:rsidRDefault="000F7E1F" w:rsidP="000F7E1F">
            <w:pPr>
              <w:widowControl/>
              <w:spacing w:line="78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7E1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全年</w:t>
            </w:r>
          </w:p>
        </w:tc>
      </w:tr>
    </w:tbl>
    <w:p w:rsidR="006F6019" w:rsidRPr="000F7E1F" w:rsidRDefault="000F7E1F" w:rsidP="000F7E1F">
      <w:pPr>
        <w:widowControl/>
        <w:shd w:val="clear" w:color="auto" w:fill="FFFFFF"/>
        <w:spacing w:line="30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F7E1F">
        <w:rPr>
          <w:rFonts w:ascii="仿宋_GB2312" w:eastAsia="仿宋_GB2312" w:hAnsi="Times New Roman" w:cs="Times New Roman" w:hint="eastAsia"/>
          <w:color w:val="000000"/>
          <w:kern w:val="0"/>
          <w:szCs w:val="21"/>
          <w:bdr w:val="none" w:sz="0" w:space="0" w:color="auto" w:frame="1"/>
        </w:rPr>
        <w:t> </w:t>
      </w:r>
    </w:p>
    <w:sectPr w:rsidR="006F6019" w:rsidRPr="000F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3F"/>
    <w:rsid w:val="000F7E1F"/>
    <w:rsid w:val="006F6019"/>
    <w:rsid w:val="00D7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2</cp:revision>
  <dcterms:created xsi:type="dcterms:W3CDTF">2018-07-24T06:55:00Z</dcterms:created>
  <dcterms:modified xsi:type="dcterms:W3CDTF">2018-07-24T06:55:00Z</dcterms:modified>
</cp:coreProperties>
</file>