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360" w:rsidRPr="00137360" w:rsidRDefault="00137360" w:rsidP="00137360">
      <w:pPr>
        <w:widowControl/>
        <w:shd w:val="clear" w:color="auto" w:fill="FFFFFF"/>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附件1</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凤阳县公共服务事项清理规范单位名单</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（58家单位）</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县政府办公室（外事办、法制办）、县发改委、县教育体育局、县科技局、县经信委、县民政局（民宗局）、县公安局、县监察局、县司法局、县财政局、县人社局、县国土房产局、县环保局、县规划建设局（人防办）、县交通运输局、县农委（林业局、粮食局）、县水务局、县商务局、县文广新局（旅游局）、县卫计委、县审计局、县统计局、县安监局、县市场监管局、县金融办、县公管局、县档案局、县城管执法局、县重点局、县党史地方志办、县行政学校、县残联、县供销社、县红十字会、县台办、县信访局、县国家保密局、县地税局、县气象局、县住房公积金管理中心、中国电信凤阳分公司、中国移动凤阳分公司、中国联通凤阳分公司</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府城镇、临淮关镇、大庙镇、刘府镇、武店镇、西泉镇、官塘镇、殷涧镇、总铺镇、红心镇、大溪河镇、小溪河镇、板桥镇、枣巷镇、黄湾乡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注：各部门均含下属事业单位。</w:t>
      </w:r>
    </w:p>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附件2</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公共服务事项清理情况表</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报送单位：            （盖章）                                    时间：  年  月   日</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465"/>
        <w:gridCol w:w="870"/>
        <w:gridCol w:w="870"/>
        <w:gridCol w:w="2130"/>
        <w:gridCol w:w="870"/>
        <w:gridCol w:w="1500"/>
        <w:gridCol w:w="675"/>
      </w:tblGrid>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序号</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事项名称</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办理依据</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实施（共同实施）单位</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服务对象</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清理意见及理由</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备　注</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1</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2</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3</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4</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5</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6</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7</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8</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9</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备注：1．本表供各单位在事项梳理填报时使用，表格填写后需由单位主要负责人签字加盖公章报送市编办。2．应对公共服务事项按保留、取消、其他等进行分类清理，并提出清理理由，在“清理意见及理由”栏注明。3．公共服务事项应为具体服务行为，事项名称应规范填写，其中，证明类事项用▲标注，“点菜型”事项用★标注。4．办理依据应填写法律法规规章以及规范性文件或承诺书的名称、具体条款及内容，无文件依据的应提供该事项是经常性、常态化为群众认可的公共服务事项理由。5．实施单位和共同实施单位要填写规范全称。6．服务对象需填写个人（公民）、法人、社会组织等。7．备注，填写需要补充说明的事项，如市县同步实施等。</w:t>
      </w:r>
    </w:p>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附件3</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公共服务事项细化统计表</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报送单位：          （盖章）                                       时间：年  月  日</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305"/>
        <w:gridCol w:w="774"/>
        <w:gridCol w:w="450"/>
        <w:gridCol w:w="450"/>
        <w:gridCol w:w="450"/>
        <w:gridCol w:w="450"/>
        <w:gridCol w:w="1710"/>
        <w:gridCol w:w="2145"/>
      </w:tblGrid>
      <w:tr w:rsidR="00137360" w:rsidRPr="00137360" w:rsidTr="00137360">
        <w:trPr>
          <w:tblCellSpacing w:w="15" w:type="dxa"/>
        </w:trPr>
        <w:tc>
          <w:tcPr>
            <w:tcW w:w="0" w:type="auto"/>
            <w:gridSpan w:val="2"/>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上报单位</w:t>
            </w:r>
          </w:p>
        </w:tc>
        <w:tc>
          <w:tcPr>
            <w:tcW w:w="0" w:type="auto"/>
            <w:gridSpan w:val="4"/>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分类清理处置情况</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证明类服务事项数</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“点菜型”服务事项数</w:t>
            </w:r>
          </w:p>
        </w:tc>
      </w:tr>
      <w:tr w:rsidR="00137360" w:rsidRPr="00137360" w:rsidTr="00137360">
        <w:trPr>
          <w:tblCellSpacing w:w="15" w:type="dxa"/>
        </w:trPr>
        <w:tc>
          <w:tcPr>
            <w:tcW w:w="0" w:type="auto"/>
            <w:gridSpan w:val="2"/>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合计</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保留</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取消</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其他</w:t>
            </w: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r>
      <w:tr w:rsidR="00137360" w:rsidRPr="00137360" w:rsidTr="00137360">
        <w:trPr>
          <w:tblCellSpacing w:w="15" w:type="dxa"/>
        </w:trPr>
        <w:tc>
          <w:tcPr>
            <w:tcW w:w="0" w:type="auto"/>
            <w:gridSpan w:val="2"/>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总计</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gridSpan w:val="2"/>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机关</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下属事业单位</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XX中心</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XX站</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XX馆</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备注：1．本表供各部门在事项梳理填报时使用，由主管部门统一汇总后，经部门主要负责人签字加盖公章报送市编办。2．上报单位中，各部门下属事业单位要理尽理全，没有服务事项的单位实行“零报告”制度。3．“点菜型”服务事项，指市级规范性文件自行确定的,或部门公开承诺的市级公共服务事项。4．上报公共服务事项数的合计栏应为保留、取消、其他事项数的总和。5.证明类服务事项和“点菜型”服务事项单独计数。</w:t>
      </w:r>
    </w:p>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附件4</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公共服务事项梳理共性问题汇总表</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（模版）</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报送单位：       （盖章）                 时间：年  月  日</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84"/>
        <w:gridCol w:w="526"/>
        <w:gridCol w:w="1480"/>
        <w:gridCol w:w="2835"/>
        <w:gridCol w:w="3241"/>
      </w:tblGrid>
      <w:tr w:rsidR="00137360" w:rsidRPr="00137360" w:rsidTr="00137360">
        <w:trPr>
          <w:tblCellSpacing w:w="15" w:type="dxa"/>
        </w:trPr>
        <w:tc>
          <w:tcPr>
            <w:tcW w:w="0" w:type="auto"/>
            <w:vMerge w:val="restart"/>
            <w:shd w:val="clear" w:color="auto" w:fill="FFFFFF"/>
            <w:vAlign w:val="center"/>
            <w:hideMark/>
          </w:tcPr>
          <w:p w:rsidR="00137360" w:rsidRPr="00137360" w:rsidRDefault="00137360" w:rsidP="00137360">
            <w:pPr>
              <w:widowControl/>
              <w:jc w:val="center"/>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序号</w:t>
            </w:r>
          </w:p>
        </w:tc>
        <w:tc>
          <w:tcPr>
            <w:tcW w:w="0" w:type="auto"/>
            <w:gridSpan w:val="2"/>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共性问题</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示  例</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梳理上报建议</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类型</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内容</w:t>
            </w: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1</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公益性工作如何界定问</w:t>
            </w:r>
            <w:r w:rsidRPr="00137360">
              <w:rPr>
                <w:rFonts w:ascii="微软雅黑" w:eastAsia="微软雅黑" w:hAnsi="微软雅黑" w:cs="宋体" w:hint="eastAsia"/>
                <w:color w:val="333333"/>
                <w:kern w:val="0"/>
                <w:szCs w:val="21"/>
              </w:rPr>
              <w:lastRenderedPageBreak/>
              <w:t>题</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上级部门或本级党委政府部署的临时性具有公益性质的事项，是否列入</w:t>
            </w:r>
            <w:r w:rsidRPr="00137360">
              <w:rPr>
                <w:rFonts w:ascii="微软雅黑" w:eastAsia="微软雅黑" w:hAnsi="微软雅黑" w:cs="宋体" w:hint="eastAsia"/>
                <w:color w:val="333333"/>
                <w:kern w:val="0"/>
                <w:szCs w:val="21"/>
              </w:rPr>
              <w:lastRenderedPageBreak/>
              <w:t>公共服务清单？</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政府部门按照本级党委政府或上级部门要求，开展的对残疾、贫困等特殊人群临时性救助“送温暖”服务，各类“送文化”、“送科技”等公益服务</w:t>
            </w:r>
            <w:r w:rsidRPr="00137360">
              <w:rPr>
                <w:rFonts w:ascii="微软雅黑" w:eastAsia="微软雅黑" w:hAnsi="微软雅黑" w:cs="宋体" w:hint="eastAsia"/>
                <w:color w:val="333333"/>
                <w:kern w:val="0"/>
                <w:szCs w:val="21"/>
              </w:rPr>
              <w:lastRenderedPageBreak/>
              <w:t>活动，是否列入公共服务事项？</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建议根据所提供的服务事项与本部门职责是否紧密关联加以判断，对上级部门或本级党委政府部署的临时性服务事项，不列为公共服务事项；对属于职责范围内经常性开展</w:t>
            </w:r>
            <w:r w:rsidRPr="00137360">
              <w:rPr>
                <w:rFonts w:ascii="微软雅黑" w:eastAsia="微软雅黑" w:hAnsi="微软雅黑" w:cs="宋体" w:hint="eastAsia"/>
                <w:color w:val="333333"/>
                <w:kern w:val="0"/>
                <w:szCs w:val="21"/>
              </w:rPr>
              <w:lastRenderedPageBreak/>
              <w:t>并已制度化的服务事项，则可考虑列为公共服务事项。</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2</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3</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附件5</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公共服务事项服务指南编制模板</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中国高等教育学历认证服务指南</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（依申请类）</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一、办理依据</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1．教育部《关于规范高等教育学历认证工作的公告》（教学〔2007〕5号）：仅授权全国高等学校学生信息咨询与就业指导中心负责高等教育学历证书电子注册网上发布学历信息和学历认证服务工作；全国高等学校学生信息咨询与就业指导中心和“中国高等教育学生信息网”公示的学历认证代理机构以外，任何单位均无权进行高等教育学历认证活动，安徽省教育信息咨询中心是“中国高等教育学生信息网”公示的学历认证代理机构。</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关于启用“安徽省教育厅文凭验证专用章”的通知》（教秘〔2001〕593号）：省教育厅授权安徽省教育信息咨询中心具体实施文凭验证工作。为保证文凭验证的规范性和权威性，自即日起正式启用“安徽省教育厅文凭验证专用章”。</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3．《关于规范高等教育学历认证工作的公告》（皖教办〔2012〕53号）：全国高等学校学生信息咨询与就业指导中心授权安徽省教育信息咨询中心作为安徽省唯一代理机构，在全省范围内开展高等教育学历证书认证工作。</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4．《关于安徽省教育厅教育信息咨询中心申请成立全国高等教育学历代理机构的复函》（教毕指〔2012〕57号）：为维护国家学历证书的严肃性，维护高校毕业生和用人单位的</w:t>
      </w:r>
      <w:r w:rsidRPr="00137360">
        <w:rPr>
          <w:rFonts w:ascii="微软雅黑" w:eastAsia="微软雅黑" w:hAnsi="微软雅黑" w:cs="宋体" w:hint="eastAsia"/>
          <w:color w:val="333333"/>
          <w:kern w:val="0"/>
          <w:szCs w:val="21"/>
        </w:rPr>
        <w:lastRenderedPageBreak/>
        <w:t>合法权益，打击伪造、贩卖国家学历证书的不法行为，经研究决定，同意委托你厅推荐的安徽省教育信息咨询中心作为我中心的学历认证代理机构，开展高等教育学历信息服务工作。</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二、承办机构</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省政务服务中心省教育厅窗口</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三、服务对象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普通高校、成人高校、高等教育自学考试机构按国家招生规定录取和参加高等教育自学考试、高等教育学历文凭考试的学生。</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四、申请条件</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普通高校、成人高校、高等教育自学考试机构按国家招生规定录取和参加高等教育自学考试、高等教育学历文凭考试的学生取得学历证书后可进行申请认证。</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五、申报材料</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1．基本材料：申请表（现场填写）、毕业证书原件和身份证原件。</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申请军校学历认证：申请表、毕业证书原件、身份证原件或复印件，根据“是否现役”的情况，分别提供士兵证或军官证复印件、退伍证或转业证复印件（如转业证丢失，请提供个人档案中的转业审批报告复印件），以及个人档案中的应征公民入伍批准书或入伍登记表复印件，学员学籍管理登记表或学员登记表复印件。其中属于1992年起取得军队生长干部学历的，需提供个人档案中士兵入学批准书复印件;属于1994年起参加普通高考进入学校取得学历的，需提供“普通中学应届高中毕业生入军队院校批准书”复印件;如在校学习期间无军籍身份请在《学历认证申请表》上注明。（每页复印件须加盖出处单位公章）</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3．申请自考学历认证，除提交申请表、毕业证书原件和身份证原件以外，涉及2002年以前毕业证书须提供个人档案袋中的毕业生登记表复印件。（每页复印件须加盖出处单位公章） “专升本”学历证书申请认证，需同时认证“专科”学历。</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 xml:space="preserve">　　备注：部分学历在认证过程中还会通知进一步补充材料，届时请予以配合；受与学校等部门函件往来及寒暑假、国家法定节假日影响，认证所需时间有可能额外延长，请您予以理解；如需办理认证报告英文版，需首先（或同时）办理认证报告中文版。</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（其他要求与标准以安徽省学历学位认证网renzheng.ahedu.gov.cn公布为准）。</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六、服务流程</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1．申请：申请人携带规定材料向安徽省政务服务中心省教育厅窗口办理认证申请。</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2．受理：安徽省政务服务中心省教育厅窗口受理后上报至教育部全国高等学校学生信息咨询与就业指导中心审核。</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3．发放：通过教育部全国高等学校学生信息咨询与就业指导中心审核后，安徽省政务服务中心省教育厅窗口开具《中国高等教育学历认证报告》。</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七、办理时限</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15个工作日（不含涉及外省专升本、2001年之前的各类普通、成人、自考学历文凭、军队学历、变更姓名、出生日期以及其他信息变更等情况）</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八、收费依据及标准</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依据：《安徽省物价局关于重新核定我省学历学位认证收费标准的函》（皖价服函〔2014〕170号）</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标准：95元/份</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九、咨询方式</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省政务服务中心省教育厅窗口</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电话：0551-62999735</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网址：http:// renzheng.ahedu.gov.cn</w:t>
      </w:r>
    </w:p>
    <w:p w:rsidR="00137360" w:rsidRPr="00137360" w:rsidRDefault="00137360" w:rsidP="00137360">
      <w:pPr>
        <w:widowControl/>
        <w:shd w:val="clear" w:color="auto" w:fill="FFFFFF"/>
        <w:ind w:firstLine="480"/>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流浪乞讨未成年人救助保护服务指南</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（主动服务类）</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一、办理依据</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中华人民共和国未成年人保护法》第四十三条：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对孤儿、无法查明其父母或者其他监护人的以及其他生活无着的未成年人，由民政部门设立的儿童福利机构收留抚养。未成年人救助机构、儿童福利机构及其工作人员应当依法履行职责，不得虐待、歧视未成年人;不得在办理收留抚养工作中牟取利益。</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二、承办机构</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XX市社会救助管理中心</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三、服务对象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流浪乞讨未成年人</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四、服务条件</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无力解决食宿，无亲友投靠，又不享受城市最低生活保障或者农村五保供养，正在城市流浪乞讨度日的未成年人。</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五、服务流程</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1．接收：公安机关护送到市社会救助管理中心或市社会救助管理中心主动接收。</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2．查找：公安机关、市社会救助管理中心积极查找流浪乞讨未成年人法定监护人或亲属。</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 xml:space="preserve">　　3．救助：查找到法定监护人或亲属的流浪乞讨未成年人，由市社会救助管理中心护送返乡；查找不到法定监护人或亲属的流浪乞讨未成年人，报请市民政局批准后，送往市社会（儿童）福利院或市社会福利院集中安置。</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六、服务时限</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即办</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七、收费依据及标准</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免费</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八、咨询方式</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XX市社会救助管理中心</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电话：XXXX—XXXXXXX</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465"/>
        <w:gridCol w:w="870"/>
        <w:gridCol w:w="1500"/>
        <w:gridCol w:w="2760"/>
        <w:gridCol w:w="2130"/>
        <w:gridCol w:w="465"/>
      </w:tblGrid>
      <w:tr w:rsidR="00137360" w:rsidRPr="00137360" w:rsidTr="00137360">
        <w:trPr>
          <w:tblCellSpacing w:w="15" w:type="dxa"/>
        </w:trPr>
        <w:tc>
          <w:tcPr>
            <w:tcW w:w="0" w:type="auto"/>
            <w:gridSpan w:val="6"/>
            <w:shd w:val="clear" w:color="auto" w:fill="FFFFFF"/>
            <w:vAlign w:val="center"/>
            <w:hideMark/>
          </w:tcPr>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附件6</w:t>
            </w:r>
          </w:p>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公共服务事项办理依据汇总表</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单位：</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序号</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办理依据</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发文时间、字号</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类别（法规、文件、纪要等）</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层级（国家、省、市）</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其他</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xml:space="preserve">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gridSpan w:val="6"/>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县级中介服务事项清理规范工作方案</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一、总体要求</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按照简政放权、放管结合、优化服务的要求，坚持能放则放、能转则转、打破垄断，全面清理规范行政权力相关的中介服务事项，做到公开透明、能看能办、便民高效，进一步打破市场垄断、切断利益关联、规范中介收费，降低制度性交易成本，引导中介服务市场健康发展。</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二、清理原则</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（一）坚持能放则放，取消一批。实施依据不充分的行政权力中介服务事项，不再要求行政相对人提供相关评估、论证、鉴定、证明等材料。</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（二）坚持简化优化，转换一批。原由行政相对人委托并承担费用的中介服务事项，将部分适合行政机关承担费用的转换由行政机关自行委托有关机构开展技术性服务。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 xml:space="preserve">　　（三）坚持放开搞活，规范一批。原由行政机关要求行政相对人必须委托相关机构实施的中介服务，行政相对人可按照要求自行编制相关材料，也可委托有关机构实施。</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三、主要任务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确定清理规范范围。全面清理规范与行政审批、行政处罚、行政征收、行政给付、行政奖励、行政强制、行政确认、行政裁决、行政规划、其他权力等10类行政权力（详见《凤阳县人民政府关于公布凤阳县县级政府权责清单目录（2016年本）的通知》）相关的中介服务事项。行政审批类权力涉及的部分中介服务事项前期已进行梳理，此次将结合《凤阳县人民政府办公室关于衔接落实省政府第一批清理规范行政审批中介服务事项的通知》(政办〔2016〕44号)和《凤阳县人民政府办公室关于衔接落实省政府第二批清理规范行政审批中介服务事项的通知》(政办〔2016〕45号)进行清理规范。</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明确清理规范内容。主要有两个方面：一是行政相对人委托实施的中介服务。行政机关行使行政权力时，要求公民、法人和其他组织委托企业、事业单位、社会组织等机构（以下统称中介服务机构）开展的作为行政权力行使条件的有偿中介服务，包括各类技术审查、论证、评估、评价、检验、检测、鉴证、鉴定、证明、咨询、试验等服务活动。二是行政机关委托实施的中介服务。在行政权力行使中，由行政机关委托有关中介服务机构开展的各类技术审查、论证、评估、评价、检验、检测、鉴证、鉴定、证明、咨询、试验等服务活动（又称技术性服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三）梳理清理服务事项。县直各单位全面梳理本单位行政权力涉及的中介服务事项。由行政相对人委托开展的中介服务事项，按照“取消一批、转换一批、规范一批”的办法，提出分类清理意见；由行政机关委托开展的中介服务事项按照依法合规的要求，提出具体清理规范意见。</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 xml:space="preserve">　　（四）审核部门清理事项。逐项审查中介服务事项项目名称、设置依据及相应的实施机构资质条件、依据等。行政机关能够通过征求相关部门意见、加强事中事后监管解决以及行政相对人可按要求自行完成的事项，不得作为由行政相对人委托开展的中介服务。现有或已取消的行政权力事项，不得转为中介服务。实行政府定价或作为行政事业性收费管理的项目，同时明确收费依据和收费标准。</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四、实施步骤</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（一）动员部署阶段（2017年3月10日前）。制定清理规范工作方案，召开动员会议，开展相关培训。</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二）自查自清阶段（2017年3月11日—3月15日）。县直各单位开展全面自查自清，将由单位主要负责人签字并加盖单位印章的自查报告（包括中介服务事项梳理清理、所属单位开展本部门相关中介服务情况，存在问题、措施办法和意见建议等）和有关表格连同电子版一并报送县编办（政务中心锦绣105编办，联系电话：0550-6728103，邮箱：fyxbb2013@163.com）。</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（三）集中审核阶段（2017年3月16日—3月20日）。按照“二上二下”的办法，中介服务项目组对部门梳理的中介服务事项及清理规范意见进行集中审核，提出审核意见反馈各单位征求意见，完成审核任务。</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（四）审查论证阶段（2017年3月25日前）。成立专家组，分行业、分领域进行专家论证，开展合法性审查，在单位门户网站公示征求意见。</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2017年3月31日前完成中介服务事项审定确认工作。</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五、工作要求</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县直各单位是中介服务事项清理规范工作的责任主体，要加强组织领导，建立工作机制，扎实开展自查自清，全面梳理本单位行政权力涉及的中介服务事项，逐条逐项进行填报，不</w:t>
      </w:r>
      <w:r w:rsidRPr="00137360">
        <w:rPr>
          <w:rFonts w:ascii="微软雅黑" w:eastAsia="微软雅黑" w:hAnsi="微软雅黑" w:cs="宋体" w:hint="eastAsia"/>
          <w:color w:val="333333"/>
          <w:kern w:val="0"/>
          <w:szCs w:val="21"/>
        </w:rPr>
        <w:lastRenderedPageBreak/>
        <w:t>得瞒报、漏报，做到事项内容准确、设置依据充分、清理意见明确。要坚持问题导向、责任导向，有力有序推进清理规范工作，并将清理规范工作与权责清单制度建设、行政审批制度改革、分类推进事业单位改革、推进行业协会商会与行政机关脱钩、社会信用体系建设等工作结合起来，统筹安排，认真实施。</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附件：1. 县级中介服务事项清理规范单位名单</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2. 中介服务事项清理规范表</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3. 部门所属机构承担由行政相对人委托中介服务事项情况表</w:t>
      </w:r>
    </w:p>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附件1</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县级中介服务事项清理规范单位名单</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（33家单位）</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县政府办公室（外事办、法制办）、县发改委、县教育体育局、县科技局、县经信委、县民政局（县民宗局）、县公安局、县司法局、县财政局、县人社局、县国土房产局、县环保局、县规建局（人防办）、县交通局、县农委（林业局、粮食局）、县水务局、县商务局、县文广新局（旅游局）、县卫计委、县审计局、县统计局、县安监局、县市场监管局、县机关事务管理局、县金融办、县公管局、县档案局、县城管执法局、县住房公积金管理中心、县供销社、县残联、县台办、县信访局</w:t>
      </w:r>
    </w:p>
    <w:p w:rsidR="00137360" w:rsidRPr="00137360" w:rsidRDefault="00137360" w:rsidP="00137360">
      <w:pPr>
        <w:widowControl/>
        <w:shd w:val="clear" w:color="auto" w:fill="FFFFFF"/>
        <w:ind w:firstLine="480"/>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附件2</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县级中介服务事项清理规范表</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29"/>
        <w:gridCol w:w="753"/>
        <w:gridCol w:w="899"/>
        <w:gridCol w:w="459"/>
        <w:gridCol w:w="459"/>
        <w:gridCol w:w="313"/>
        <w:gridCol w:w="313"/>
        <w:gridCol w:w="313"/>
        <w:gridCol w:w="313"/>
        <w:gridCol w:w="313"/>
        <w:gridCol w:w="313"/>
        <w:gridCol w:w="1840"/>
        <w:gridCol w:w="313"/>
        <w:gridCol w:w="459"/>
        <w:gridCol w:w="977"/>
      </w:tblGrid>
      <w:tr w:rsidR="00137360" w:rsidRPr="00137360" w:rsidTr="00137360">
        <w:trPr>
          <w:tblCellSpacing w:w="15" w:type="dxa"/>
        </w:trPr>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序号</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中介服务事项名称</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中介服务事项设定依据</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对应行政</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权力</w:t>
            </w:r>
            <w:r w:rsidRPr="00137360">
              <w:rPr>
                <w:rFonts w:ascii="微软雅黑" w:eastAsia="微软雅黑" w:hAnsi="微软雅黑" w:cs="宋体" w:hint="eastAsia"/>
                <w:color w:val="333333"/>
                <w:kern w:val="0"/>
                <w:szCs w:val="21"/>
              </w:rPr>
              <w:lastRenderedPageBreak/>
              <w:t>名称</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所处环节</w:t>
            </w:r>
          </w:p>
        </w:tc>
        <w:tc>
          <w:tcPr>
            <w:tcW w:w="0" w:type="auto"/>
            <w:gridSpan w:val="6"/>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中介服务实施机构</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中介服务事项是否收费、收费类型、标准及依据</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委托</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主</w:t>
            </w:r>
            <w:r w:rsidRPr="00137360">
              <w:rPr>
                <w:rFonts w:ascii="微软雅黑" w:eastAsia="微软雅黑" w:hAnsi="微软雅黑" w:cs="宋体" w:hint="eastAsia"/>
                <w:color w:val="333333"/>
                <w:kern w:val="0"/>
                <w:szCs w:val="21"/>
              </w:rPr>
              <w:lastRenderedPageBreak/>
              <w:t>体</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处理意见</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及理</w:t>
            </w:r>
            <w:r w:rsidRPr="00137360">
              <w:rPr>
                <w:rFonts w:ascii="微软雅黑" w:eastAsia="微软雅黑" w:hAnsi="微软雅黑" w:cs="宋体" w:hint="eastAsia"/>
                <w:color w:val="333333"/>
                <w:kern w:val="0"/>
                <w:szCs w:val="21"/>
              </w:rPr>
              <w:lastRenderedPageBreak/>
              <w:t>由</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备注（是否涉密等）</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资质</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条件</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资质</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依据</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主管</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部门</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机构</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名称</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机构</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性质</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机构</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数量</w:t>
            </w: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lastRenderedPageBreak/>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注：1. 中介服务事项应填写规范全称，与设定依据中的正式表述一致。2.中介服务事项设定依据，包括直接设定行政权力中介服务事项的相关法律、法规的名称和具体条文，没有依据的简要说明情况。3.对应行政权力名称及项目编码应按照权责清单中公布的内容填写。4.所处环节，是指中介服务发生在行政权力行使的具体阶段，如行政审批、行政确认是受理前或受理后等。5.中介服务实施机构资质条件，是指行政机关认可中介服务机构的资质资格条件，如具有***工程勘察甲级资质的单位等。6. 中介服务实施机构资质依据，包括直接明确提供中介服务机构的资质条件的相关法律、法规的名称和具体条文。7. 中介服务实施机构主管部门，是指中介服务机构的登记、审批、监管部门等。8.中介服务实施机构名称，如XX中心（事业单位）、XX公司（企业）、XX协会（社会组织）等；机构较多的，可每类填写1-2个机构，并列明具体数量。不掌握具体数量的，可填写大致情况。9.中介服务收费类型，可按政府定价、政府指导价、行政事业性收费或市场自主调节价格等类型填写。10.委托主体，按照由行政相对人委托或行政机关委托两种方式填写。11.处理意见及理由，可按保留、取消、转换、规范四种意见填写并说明主要理由。</w:t>
      </w:r>
    </w:p>
    <w:p w:rsidR="00137360" w:rsidRPr="00137360" w:rsidRDefault="00137360" w:rsidP="00137360">
      <w:pPr>
        <w:widowControl/>
        <w:shd w:val="clear" w:color="auto" w:fill="FFFFFF"/>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xml:space="preserve">　　附件3</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lastRenderedPageBreak/>
        <w:t>部门所属机构承担由行政相对人委托中介服务事项情况表</w:t>
      </w:r>
    </w:p>
    <w:p w:rsidR="00137360" w:rsidRPr="00137360" w:rsidRDefault="00137360" w:rsidP="00137360">
      <w:pPr>
        <w:widowControl/>
        <w:shd w:val="clear" w:color="auto" w:fill="FFFFFF"/>
        <w:jc w:val="center"/>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74"/>
        <w:gridCol w:w="599"/>
        <w:gridCol w:w="360"/>
        <w:gridCol w:w="600"/>
        <w:gridCol w:w="600"/>
        <w:gridCol w:w="600"/>
        <w:gridCol w:w="600"/>
        <w:gridCol w:w="1769"/>
        <w:gridCol w:w="1199"/>
        <w:gridCol w:w="600"/>
        <w:gridCol w:w="1065"/>
      </w:tblGrid>
      <w:tr w:rsidR="00137360" w:rsidRPr="00137360" w:rsidTr="00137360">
        <w:trPr>
          <w:tblCellSpacing w:w="15" w:type="dxa"/>
        </w:trPr>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序号</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机构名称</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机构</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性质</w:t>
            </w:r>
          </w:p>
        </w:tc>
        <w:tc>
          <w:tcPr>
            <w:tcW w:w="0" w:type="auto"/>
            <w:gridSpan w:val="6"/>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承担与本部门行政权力相关中介服务事项</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处理意见</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及理由</w:t>
            </w:r>
          </w:p>
        </w:tc>
        <w:tc>
          <w:tcPr>
            <w:tcW w:w="0" w:type="auto"/>
            <w:vMerge w:val="restart"/>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备注</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（是否涉密等）</w:t>
            </w:r>
          </w:p>
        </w:tc>
      </w:tr>
      <w:tr w:rsidR="00137360" w:rsidRPr="00137360" w:rsidTr="00137360">
        <w:trPr>
          <w:tblCellSpacing w:w="15" w:type="dxa"/>
        </w:trPr>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hint="eastAsia"/>
                <w:color w:val="333333"/>
                <w:kern w:val="0"/>
                <w:szCs w:val="21"/>
              </w:rPr>
            </w:pPr>
            <w:r w:rsidRPr="00137360">
              <w:rPr>
                <w:rFonts w:ascii="微软雅黑" w:eastAsia="微软雅黑" w:hAnsi="微软雅黑" w:cs="宋体" w:hint="eastAsia"/>
                <w:color w:val="333333"/>
                <w:kern w:val="0"/>
                <w:szCs w:val="21"/>
              </w:rPr>
              <w:t>中介服务</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事项名称</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对应行政</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权力名称</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所处环节</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办理时限</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是否收费、收费类型、标准及</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依据</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上一年度提供服务的</w:t>
            </w:r>
          </w:p>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数量</w:t>
            </w: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c>
          <w:tcPr>
            <w:tcW w:w="0" w:type="auto"/>
            <w:vMerge/>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p>
        </w:tc>
      </w:tr>
      <w:tr w:rsidR="00137360" w:rsidRPr="00137360" w:rsidTr="00137360">
        <w:trPr>
          <w:tblCellSpacing w:w="15" w:type="dxa"/>
        </w:trPr>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c>
          <w:tcPr>
            <w:tcW w:w="0" w:type="auto"/>
            <w:shd w:val="clear" w:color="auto" w:fill="FFFFFF"/>
            <w:vAlign w:val="center"/>
            <w:hideMark/>
          </w:tcPr>
          <w:p w:rsidR="00137360" w:rsidRPr="00137360" w:rsidRDefault="00137360" w:rsidP="00137360">
            <w:pPr>
              <w:widowControl/>
              <w:jc w:val="left"/>
              <w:rPr>
                <w:rFonts w:ascii="微软雅黑" w:eastAsia="微软雅黑" w:hAnsi="微软雅黑" w:cs="宋体"/>
                <w:color w:val="333333"/>
                <w:kern w:val="0"/>
                <w:szCs w:val="21"/>
              </w:rPr>
            </w:pPr>
            <w:r w:rsidRPr="00137360">
              <w:rPr>
                <w:rFonts w:ascii="微软雅黑" w:eastAsia="微软雅黑" w:hAnsi="微软雅黑" w:cs="宋体" w:hint="eastAsia"/>
                <w:color w:val="333333"/>
                <w:kern w:val="0"/>
                <w:szCs w:val="21"/>
              </w:rPr>
              <w:t> </w:t>
            </w:r>
          </w:p>
        </w:tc>
      </w:tr>
    </w:tbl>
    <w:p w:rsidR="002948D1" w:rsidRDefault="002948D1">
      <w:bookmarkStart w:id="0" w:name="_GoBack"/>
      <w:bookmarkEnd w:id="0"/>
    </w:p>
    <w:sectPr w:rsidR="00294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A1"/>
    <w:rsid w:val="00137360"/>
    <w:rsid w:val="002948D1"/>
    <w:rsid w:val="00AB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736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73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2</cp:revision>
  <dcterms:created xsi:type="dcterms:W3CDTF">2018-07-04T09:10:00Z</dcterms:created>
  <dcterms:modified xsi:type="dcterms:W3CDTF">2018-07-04T09:10:00Z</dcterms:modified>
</cp:coreProperties>
</file>