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AB9" w:rsidRPr="00E85AB9" w:rsidRDefault="00E85AB9" w:rsidP="00E85AB9">
      <w:pPr>
        <w:widowControl/>
        <w:shd w:val="clear" w:color="auto" w:fill="FFFFFF"/>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附件1</w:t>
      </w:r>
    </w:p>
    <w:p w:rsidR="00E85AB9" w:rsidRPr="00E85AB9" w:rsidRDefault="00E85AB9" w:rsidP="00E85AB9">
      <w:pPr>
        <w:widowControl/>
        <w:shd w:val="clear" w:color="auto" w:fill="FFFFFF"/>
        <w:jc w:val="center"/>
        <w:rPr>
          <w:rFonts w:ascii="微软雅黑" w:eastAsia="微软雅黑" w:hAnsi="微软雅黑" w:cs="宋体" w:hint="eastAsia"/>
          <w:color w:val="333333"/>
          <w:kern w:val="0"/>
          <w:szCs w:val="21"/>
        </w:rPr>
      </w:pPr>
      <w:bookmarkStart w:id="0" w:name="_GoBack"/>
      <w:r w:rsidRPr="00E85AB9">
        <w:rPr>
          <w:rFonts w:ascii="微软雅黑" w:eastAsia="微软雅黑" w:hAnsi="微软雅黑" w:cs="宋体" w:hint="eastAsia"/>
          <w:color w:val="333333"/>
          <w:kern w:val="0"/>
          <w:szCs w:val="21"/>
        </w:rPr>
        <w:t>市级公共服务事项清理规范单位名单</w:t>
      </w:r>
    </w:p>
    <w:bookmarkEnd w:id="0"/>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 </w:t>
      </w:r>
    </w:p>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    市政府办（研究室、外事&lt;侨务&gt;办）、市发改委（市物价局、市绿指办）、市教育局、市科技局（市知识产权局）、市经信委（市中小企业发展局）、市民委（市宗教局）、市公安局、市民政局、市司法局、市财政局（市国资委）、市人社局、市国土局（市不动产登记局）、市环保局、市住建委、市交通局、市农委、市水利局、市林业局、市商务局、市文广新局（市体育局、市版权局）、市卫计委、市审计局、市统计局、市工商质监局、市药监局（市食安办）、市安监局、市旅游委、市粮食局、市法制办、市规划局、市城管局、市人防办（市民防局）、市监察局、市信访局、市保密局、市政务服务中心、市扶贫办、市档案局、市管局（接待办）、市金融办、市招商局、市供销社、市地震局、市方志办、市残联、市公共资源交易监管局（市公共资源交易中心）、市重点局、市公积金中心、市广播电视台、市城市建设投资集团、市总工会、团市委、市妇联、市科协、市文联、市工商联、市红十字会机关、市地税局、市烟草专卖局、六安海关工作组、市气象局、市邮政管理局、六安出入境检验检疫局、市盐务管理局、人行六安市中心支行、六安银监分局、市公安消防支队、国家统计局六安调查队、六安供电公司、电信六安公司、移动六安公司、联通六安公司、安广网络六安分公司、市邮政公司、市公交总公司、市自来水公司、市排水公司、六安职业技术学院、皖西卫生职业学院、六安技师学院（六安电子商务学院）、六安经济技术开发区</w:t>
      </w:r>
    </w:p>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附件2</w:t>
      </w:r>
    </w:p>
    <w:p w:rsidR="00E85AB9" w:rsidRPr="00E85AB9" w:rsidRDefault="00E85AB9" w:rsidP="00E85AB9">
      <w:pPr>
        <w:widowControl/>
        <w:shd w:val="clear" w:color="auto" w:fill="FFFFFF"/>
        <w:jc w:val="center"/>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公共服务事项清理情况表</w:t>
      </w:r>
    </w:p>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报送单位：              （盖章）                                     时间：2017年　月　日</w:t>
      </w:r>
    </w:p>
    <w:tbl>
      <w:tblPr>
        <w:tblW w:w="0" w:type="auto"/>
        <w:tblBorders>
          <w:top w:val="outset" w:sz="6" w:space="0" w:color="333333"/>
          <w:left w:val="outset" w:sz="6" w:space="0" w:color="333333"/>
          <w:bottom w:val="outset" w:sz="6" w:space="0" w:color="333333"/>
          <w:right w:val="outset"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678"/>
        <w:gridCol w:w="1069"/>
        <w:gridCol w:w="1241"/>
        <w:gridCol w:w="1867"/>
        <w:gridCol w:w="1045"/>
        <w:gridCol w:w="1436"/>
        <w:gridCol w:w="1120"/>
      </w:tblGrid>
      <w:tr w:rsidR="00E85AB9" w:rsidRPr="00E85AB9" w:rsidTr="00E85AB9">
        <w:trPr>
          <w:trHeight w:val="330"/>
        </w:trPr>
        <w:tc>
          <w:tcPr>
            <w:tcW w:w="9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序号</w:t>
            </w:r>
          </w:p>
        </w:tc>
        <w:tc>
          <w:tcPr>
            <w:tcW w:w="166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事项名称</w:t>
            </w:r>
          </w:p>
        </w:tc>
        <w:tc>
          <w:tcPr>
            <w:tcW w:w="198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办理依据</w:t>
            </w:r>
          </w:p>
        </w:tc>
        <w:tc>
          <w:tcPr>
            <w:tcW w:w="29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实施（共同实施）</w:t>
            </w:r>
            <w:r w:rsidRPr="00E85AB9">
              <w:rPr>
                <w:rFonts w:ascii="微软雅黑" w:eastAsia="微软雅黑" w:hAnsi="微软雅黑" w:cs="宋体" w:hint="eastAsia"/>
                <w:color w:val="333333"/>
                <w:kern w:val="0"/>
                <w:szCs w:val="21"/>
              </w:rPr>
              <w:lastRenderedPageBreak/>
              <w:t>单位</w:t>
            </w:r>
          </w:p>
        </w:tc>
        <w:tc>
          <w:tcPr>
            <w:tcW w:w="162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服务对象</w:t>
            </w:r>
          </w:p>
        </w:tc>
        <w:tc>
          <w:tcPr>
            <w:tcW w:w="234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清理意见及理</w:t>
            </w:r>
            <w:r w:rsidRPr="00E85AB9">
              <w:rPr>
                <w:rFonts w:ascii="微软雅黑" w:eastAsia="微软雅黑" w:hAnsi="微软雅黑" w:cs="宋体" w:hint="eastAsia"/>
                <w:color w:val="333333"/>
                <w:kern w:val="0"/>
                <w:szCs w:val="21"/>
              </w:rPr>
              <w:lastRenderedPageBreak/>
              <w:t>由</w:t>
            </w:r>
          </w:p>
        </w:tc>
        <w:tc>
          <w:tcPr>
            <w:tcW w:w="144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备  注</w:t>
            </w:r>
          </w:p>
        </w:tc>
      </w:tr>
      <w:tr w:rsidR="00E85AB9" w:rsidRPr="00E85AB9" w:rsidTr="00E85AB9">
        <w:trPr>
          <w:trHeight w:val="330"/>
        </w:trPr>
        <w:tc>
          <w:tcPr>
            <w:tcW w:w="9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1</w:t>
            </w:r>
          </w:p>
        </w:tc>
        <w:tc>
          <w:tcPr>
            <w:tcW w:w="166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98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9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62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34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4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9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2</w:t>
            </w:r>
          </w:p>
        </w:tc>
        <w:tc>
          <w:tcPr>
            <w:tcW w:w="166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98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9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62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34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4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9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3</w:t>
            </w:r>
          </w:p>
        </w:tc>
        <w:tc>
          <w:tcPr>
            <w:tcW w:w="166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98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9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62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34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4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9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4</w:t>
            </w:r>
          </w:p>
        </w:tc>
        <w:tc>
          <w:tcPr>
            <w:tcW w:w="166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98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9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62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34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4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9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5</w:t>
            </w:r>
          </w:p>
        </w:tc>
        <w:tc>
          <w:tcPr>
            <w:tcW w:w="166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98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9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62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34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4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9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w:t>
            </w:r>
          </w:p>
        </w:tc>
        <w:tc>
          <w:tcPr>
            <w:tcW w:w="166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98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9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62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34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4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bl>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    备注：1．本表供各单位在事项梳理填报时使用，表格填写后需由单位主要负责人签字加盖公章报送市编办。2．应对公共服务事项按保留、取消、其他等进行分类清理，并提出清理理由，在“清理意见及理由”栏注明。3．公共服务事项应为具体服务行为，事项名称应规范填写，其中，证明类事项用▲标注，“点菜型”事项用★标注。4．办理依据应填写法律法规规章以及规范性文件或承诺书的名称、具体条款及内容，无文件依据的应提供该事项是经常性、常态化为群众认可的公共服务事项理由。5．实施单位和共同实施单位要填写规范全称。6．服务对象需填写个人（公民）、法人、社会组织等。7．备注，填写需要补充说明的事项，如市县同步实施等。</w:t>
      </w:r>
    </w:p>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附件3</w:t>
      </w:r>
    </w:p>
    <w:p w:rsidR="00E85AB9" w:rsidRPr="00E85AB9" w:rsidRDefault="00E85AB9" w:rsidP="00E85AB9">
      <w:pPr>
        <w:widowControl/>
        <w:shd w:val="clear" w:color="auto" w:fill="FFFFFF"/>
        <w:jc w:val="center"/>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公共服务事项细化统计表</w:t>
      </w:r>
    </w:p>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报送单位：          （盖章）                                       时间：2017年　月 　日</w:t>
      </w:r>
    </w:p>
    <w:tbl>
      <w:tblPr>
        <w:tblW w:w="0" w:type="auto"/>
        <w:tblBorders>
          <w:top w:val="outset" w:sz="6" w:space="0" w:color="333333"/>
          <w:left w:val="outset" w:sz="6" w:space="0" w:color="333333"/>
          <w:bottom w:val="outset" w:sz="6" w:space="0" w:color="333333"/>
          <w:right w:val="outset"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536"/>
        <w:gridCol w:w="945"/>
        <w:gridCol w:w="790"/>
        <w:gridCol w:w="988"/>
        <w:gridCol w:w="988"/>
        <w:gridCol w:w="988"/>
        <w:gridCol w:w="1561"/>
        <w:gridCol w:w="1660"/>
      </w:tblGrid>
      <w:tr w:rsidR="00E85AB9" w:rsidRPr="00E85AB9" w:rsidTr="00E85AB9">
        <w:trPr>
          <w:trHeight w:val="330"/>
        </w:trPr>
        <w:tc>
          <w:tcPr>
            <w:tcW w:w="2100" w:type="dxa"/>
            <w:gridSpan w:val="2"/>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上报单位</w:t>
            </w:r>
          </w:p>
        </w:tc>
        <w:tc>
          <w:tcPr>
            <w:tcW w:w="5805" w:type="dxa"/>
            <w:gridSpan w:val="4"/>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分类清理处置情况</w:t>
            </w:r>
          </w:p>
        </w:tc>
        <w:tc>
          <w:tcPr>
            <w:tcW w:w="2625"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证明类服务事</w:t>
            </w:r>
            <w:r w:rsidRPr="00E85AB9">
              <w:rPr>
                <w:rFonts w:ascii="微软雅黑" w:eastAsia="微软雅黑" w:hAnsi="微软雅黑" w:cs="宋体" w:hint="eastAsia"/>
                <w:color w:val="333333"/>
                <w:kern w:val="0"/>
                <w:szCs w:val="21"/>
              </w:rPr>
              <w:lastRenderedPageBreak/>
              <w:t>项数</w:t>
            </w:r>
          </w:p>
        </w:tc>
        <w:tc>
          <w:tcPr>
            <w:tcW w:w="2625"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“点菜型”</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服务事项数</w:t>
            </w:r>
          </w:p>
        </w:tc>
      </w:tr>
      <w:tr w:rsidR="00E85AB9" w:rsidRPr="00E85AB9" w:rsidTr="00E85AB9">
        <w:trPr>
          <w:trHeight w:val="330"/>
        </w:trPr>
        <w:tc>
          <w:tcPr>
            <w:tcW w:w="0" w:type="auto"/>
            <w:gridSpan w:val="2"/>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11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合计</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保留</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取消</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其他</w:t>
            </w: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r>
      <w:tr w:rsidR="00E85AB9" w:rsidRPr="00E85AB9" w:rsidTr="00E85AB9">
        <w:trPr>
          <w:trHeight w:val="330"/>
        </w:trPr>
        <w:tc>
          <w:tcPr>
            <w:tcW w:w="2100" w:type="dxa"/>
            <w:gridSpan w:val="2"/>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总计</w:t>
            </w:r>
          </w:p>
        </w:tc>
        <w:tc>
          <w:tcPr>
            <w:tcW w:w="11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62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62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2100" w:type="dxa"/>
            <w:gridSpan w:val="2"/>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机关</w:t>
            </w:r>
          </w:p>
        </w:tc>
        <w:tc>
          <w:tcPr>
            <w:tcW w:w="11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62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62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690"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下属事业单位</w:t>
            </w:r>
          </w:p>
        </w:tc>
        <w:tc>
          <w:tcPr>
            <w:tcW w:w="14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XX中心</w:t>
            </w:r>
          </w:p>
        </w:tc>
        <w:tc>
          <w:tcPr>
            <w:tcW w:w="11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62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62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14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XX站</w:t>
            </w:r>
          </w:p>
        </w:tc>
        <w:tc>
          <w:tcPr>
            <w:tcW w:w="11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62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62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14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XX馆</w:t>
            </w:r>
          </w:p>
        </w:tc>
        <w:tc>
          <w:tcPr>
            <w:tcW w:w="11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62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62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14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w:t>
            </w:r>
          </w:p>
        </w:tc>
        <w:tc>
          <w:tcPr>
            <w:tcW w:w="11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62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62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bl>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    备注：1．本表供各部门在事项梳理填报时使用，由主管部门统一汇总后，经部门主要负责人签字加盖公章报送市编办。2．上报单位中，各部门下属事业单位要理尽理全，没有服务事项的单位实行“零报告”制度。3．“点菜型”服务事项，指市级规范性文件自行确定的,或部门公开承诺的市级公共服务事项。4．上报公共服务事项数的合计栏应为保留、取消、其他事项数的总和。5.证明类服务事项和“点菜型”服务事项单独计数。</w:t>
      </w:r>
    </w:p>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附件4</w:t>
      </w:r>
    </w:p>
    <w:p w:rsidR="00E85AB9" w:rsidRPr="00E85AB9" w:rsidRDefault="00E85AB9" w:rsidP="00E85AB9">
      <w:pPr>
        <w:widowControl/>
        <w:shd w:val="clear" w:color="auto" w:fill="FFFFFF"/>
        <w:jc w:val="center"/>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公共服务事项梳理共性问题汇总表</w:t>
      </w:r>
    </w:p>
    <w:p w:rsidR="00E85AB9" w:rsidRPr="00E85AB9" w:rsidRDefault="00E85AB9" w:rsidP="00E85AB9">
      <w:pPr>
        <w:widowControl/>
        <w:shd w:val="clear" w:color="auto" w:fill="FFFFFF"/>
        <w:jc w:val="center"/>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（模版）</w:t>
      </w:r>
    </w:p>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报送单位：       （盖章）                 时间：2017年　月　日</w:t>
      </w:r>
    </w:p>
    <w:tbl>
      <w:tblPr>
        <w:tblW w:w="0" w:type="auto"/>
        <w:tblBorders>
          <w:top w:val="outset" w:sz="6" w:space="0" w:color="333333"/>
          <w:left w:val="outset" w:sz="6" w:space="0" w:color="333333"/>
          <w:bottom w:val="outset" w:sz="6" w:space="0" w:color="333333"/>
          <w:right w:val="outset"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811"/>
        <w:gridCol w:w="1221"/>
        <w:gridCol w:w="1405"/>
        <w:gridCol w:w="2449"/>
        <w:gridCol w:w="2570"/>
      </w:tblGrid>
      <w:tr w:rsidR="00E85AB9" w:rsidRPr="00E85AB9" w:rsidTr="00E85AB9">
        <w:trPr>
          <w:trHeight w:val="330"/>
        </w:trPr>
        <w:tc>
          <w:tcPr>
            <w:tcW w:w="870"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序号</w:t>
            </w:r>
          </w:p>
        </w:tc>
        <w:tc>
          <w:tcPr>
            <w:tcW w:w="2850" w:type="dxa"/>
            <w:gridSpan w:val="2"/>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共性问题</w:t>
            </w:r>
          </w:p>
        </w:tc>
        <w:tc>
          <w:tcPr>
            <w:tcW w:w="2670"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示  例</w:t>
            </w:r>
          </w:p>
        </w:tc>
        <w:tc>
          <w:tcPr>
            <w:tcW w:w="2835"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梳理上报建议</w:t>
            </w:r>
          </w:p>
        </w:tc>
      </w:tr>
      <w:tr w:rsidR="00E85AB9" w:rsidRPr="00E85AB9" w:rsidTr="00E85AB9">
        <w:trPr>
          <w:trHeight w:val="330"/>
        </w:trPr>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13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类型</w:t>
            </w:r>
          </w:p>
        </w:tc>
        <w:tc>
          <w:tcPr>
            <w:tcW w:w="15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内容</w:t>
            </w: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r>
      <w:tr w:rsidR="00E85AB9" w:rsidRPr="00E85AB9" w:rsidTr="00E85AB9">
        <w:trPr>
          <w:trHeight w:val="330"/>
        </w:trPr>
        <w:tc>
          <w:tcPr>
            <w:tcW w:w="8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1</w:t>
            </w:r>
          </w:p>
        </w:tc>
        <w:tc>
          <w:tcPr>
            <w:tcW w:w="13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公益性工作如何界定问题</w:t>
            </w:r>
          </w:p>
        </w:tc>
        <w:tc>
          <w:tcPr>
            <w:tcW w:w="15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上级部门或本级党委政府部署的临时性具有公益性质的事项，是否列入公共服务清单？</w:t>
            </w:r>
          </w:p>
        </w:tc>
        <w:tc>
          <w:tcPr>
            <w:tcW w:w="26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政府部门按照本级党委政府或上级部门要求，开展的对残疾、贫困等特殊人群临时性救助“送温暖”服务，各类“送文化”、“送科技”等公益服务活动，是否列入公共服务事项？</w:t>
            </w:r>
          </w:p>
        </w:tc>
        <w:tc>
          <w:tcPr>
            <w:tcW w:w="28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建议根据所提供的服务事项与本部门职责是否紧密关联加以判断，对上级部门或本级党委政府部署的临时性服务事项，不列为公共服务事项；对属于职责范围内经常性开展并已制度化的服务事项，则可考虑列为公共服务事项。</w:t>
            </w:r>
          </w:p>
        </w:tc>
      </w:tr>
      <w:tr w:rsidR="00E85AB9" w:rsidRPr="00E85AB9" w:rsidTr="00E85AB9">
        <w:trPr>
          <w:trHeight w:val="330"/>
        </w:trPr>
        <w:tc>
          <w:tcPr>
            <w:tcW w:w="8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2</w:t>
            </w:r>
          </w:p>
        </w:tc>
        <w:tc>
          <w:tcPr>
            <w:tcW w:w="13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w:t>
            </w:r>
          </w:p>
        </w:tc>
        <w:tc>
          <w:tcPr>
            <w:tcW w:w="15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6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8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8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3</w:t>
            </w:r>
          </w:p>
        </w:tc>
        <w:tc>
          <w:tcPr>
            <w:tcW w:w="13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w:t>
            </w:r>
          </w:p>
        </w:tc>
        <w:tc>
          <w:tcPr>
            <w:tcW w:w="15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6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28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bl>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 </w:t>
      </w:r>
    </w:p>
    <w:p w:rsidR="00E85AB9" w:rsidRPr="00E85AB9" w:rsidRDefault="00E85AB9" w:rsidP="00E85AB9">
      <w:pPr>
        <w:widowControl/>
        <w:shd w:val="clear" w:color="auto" w:fill="FFFFFF"/>
        <w:jc w:val="center"/>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市级中介服务事项清理规范工作方案</w:t>
      </w:r>
    </w:p>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    一、总体要求</w:t>
      </w:r>
      <w:r w:rsidRPr="00E85AB9">
        <w:rPr>
          <w:rFonts w:ascii="微软雅黑" w:eastAsia="微软雅黑" w:hAnsi="微软雅黑" w:cs="宋体" w:hint="eastAsia"/>
          <w:color w:val="333333"/>
          <w:kern w:val="0"/>
          <w:szCs w:val="21"/>
        </w:rPr>
        <w:br/>
        <w:t>    按照简政放权、放管结合、优化服务的要求，坚持能放则放、能转则转，全面清理规范与行政权力相关的中介服务事项，做到公开透明、能看能办、便民高效，进一步打破市场垄断、切断利益关联、规范中介收费，降低制度性交易成本，引导中介服务市场健康发展。</w:t>
      </w:r>
      <w:r w:rsidRPr="00E85AB9">
        <w:rPr>
          <w:rFonts w:ascii="微软雅黑" w:eastAsia="微软雅黑" w:hAnsi="微软雅黑" w:cs="宋体" w:hint="eastAsia"/>
          <w:color w:val="333333"/>
          <w:kern w:val="0"/>
          <w:szCs w:val="21"/>
        </w:rPr>
        <w:br/>
        <w:t>    二、清理原则</w:t>
      </w:r>
      <w:r w:rsidRPr="00E85AB9">
        <w:rPr>
          <w:rFonts w:ascii="微软雅黑" w:eastAsia="微软雅黑" w:hAnsi="微软雅黑" w:cs="宋体" w:hint="eastAsia"/>
          <w:color w:val="333333"/>
          <w:kern w:val="0"/>
          <w:szCs w:val="21"/>
        </w:rPr>
        <w:br/>
        <w:t>    （一）坚持能放则放，取消一批。实施依据不充分的行政权力中介服务事项，不再要求行政相对人提供相关评估、论证、鉴定、证明等材料。</w:t>
      </w:r>
      <w:r w:rsidRPr="00E85AB9">
        <w:rPr>
          <w:rFonts w:ascii="微软雅黑" w:eastAsia="微软雅黑" w:hAnsi="微软雅黑" w:cs="宋体" w:hint="eastAsia"/>
          <w:color w:val="333333"/>
          <w:kern w:val="0"/>
          <w:szCs w:val="21"/>
        </w:rPr>
        <w:br/>
        <w:t>    （二）坚持简化优化，转换一批。原由行政相对人委托并承担费用的中介服务事项，将</w:t>
      </w:r>
      <w:r w:rsidRPr="00E85AB9">
        <w:rPr>
          <w:rFonts w:ascii="微软雅黑" w:eastAsia="微软雅黑" w:hAnsi="微软雅黑" w:cs="宋体" w:hint="eastAsia"/>
          <w:color w:val="333333"/>
          <w:kern w:val="0"/>
          <w:szCs w:val="21"/>
        </w:rPr>
        <w:lastRenderedPageBreak/>
        <w:t>部分适合行政机关承担费用的转换由行政机关自行委托有关机构开展技术性服务。</w:t>
      </w:r>
      <w:r w:rsidRPr="00E85AB9">
        <w:rPr>
          <w:rFonts w:ascii="微软雅黑" w:eastAsia="微软雅黑" w:hAnsi="微软雅黑" w:cs="宋体" w:hint="eastAsia"/>
          <w:color w:val="333333"/>
          <w:kern w:val="0"/>
          <w:szCs w:val="21"/>
        </w:rPr>
        <w:br/>
        <w:t>    （三）坚持放开搞活，规范一批。原由行政机关要求行政相对人必须委托相关机构实施的中介服务，行政相对人可按照要求自行编制相关材料，也可委托有关机构实施。</w:t>
      </w:r>
      <w:r w:rsidRPr="00E85AB9">
        <w:rPr>
          <w:rFonts w:ascii="微软雅黑" w:eastAsia="微软雅黑" w:hAnsi="微软雅黑" w:cs="宋体" w:hint="eastAsia"/>
          <w:color w:val="333333"/>
          <w:kern w:val="0"/>
          <w:szCs w:val="21"/>
        </w:rPr>
        <w:br/>
        <w:t>    三、主要任务</w:t>
      </w:r>
      <w:r w:rsidRPr="00E85AB9">
        <w:rPr>
          <w:rFonts w:ascii="微软雅黑" w:eastAsia="微软雅黑" w:hAnsi="微软雅黑" w:cs="宋体" w:hint="eastAsia"/>
          <w:color w:val="333333"/>
          <w:kern w:val="0"/>
          <w:szCs w:val="21"/>
        </w:rPr>
        <w:br/>
        <w:t>    （一）确定清理规范范围。全面清理规范与行政审批、行政处罚、行政征收、行政给付、行政奖励、行政强制、行政确认、行政裁决、行政规划、其他权力10类行政权力（详见《六安市市级政府权力清单和责任清单目录（2016本）》）相关的中介服务事项。</w:t>
      </w:r>
      <w:r w:rsidRPr="00E85AB9">
        <w:rPr>
          <w:rFonts w:ascii="微软雅黑" w:eastAsia="微软雅黑" w:hAnsi="微软雅黑" w:cs="宋体" w:hint="eastAsia"/>
          <w:color w:val="333333"/>
          <w:kern w:val="0"/>
          <w:szCs w:val="21"/>
        </w:rPr>
        <w:br/>
        <w:t>    （二）明确清理规范内容。主要有两个方面：一是行政相对人委托实施的中介服务。行政机关行使行政权力时，要求公民、法人和其他组织委托企业、事业单位、社会组织等机构（以下统称“中介服务机构”）开展的作为行政权力行使条件的有偿中介服务，包括各类技术审查、论证、评估、评价、检验、检测、鉴证、鉴定、证明、咨询、试验等服务活动。二是行政机关委托实施的中介服务。在行政权力行使中，由行政机关委托有关中介服务机构开展的各类技术审查、论证、评估、评价、检验、检测、鉴证、鉴定、证明、咨询、试验等服务活动（又称技术性服务）。</w:t>
      </w:r>
      <w:r w:rsidRPr="00E85AB9">
        <w:rPr>
          <w:rFonts w:ascii="微软雅黑" w:eastAsia="微软雅黑" w:hAnsi="微软雅黑" w:cs="宋体" w:hint="eastAsia"/>
          <w:color w:val="333333"/>
          <w:kern w:val="0"/>
          <w:szCs w:val="21"/>
        </w:rPr>
        <w:br/>
        <w:t>    （三）梳理清理服务事项。市直各单位全面梳理本单位行政权力涉及的中介服务事项。由行政相对人委托开展的中介服务事项，按照“取消一批、转换一批、规范一批”的办法，提出分类清理意见；由行政机关委托开展的中介服务事项按照依法合规的要求，提出具体清理规范意见。</w:t>
      </w:r>
      <w:r w:rsidRPr="00E85AB9">
        <w:rPr>
          <w:rFonts w:ascii="微软雅黑" w:eastAsia="微软雅黑" w:hAnsi="微软雅黑" w:cs="宋体" w:hint="eastAsia"/>
          <w:color w:val="333333"/>
          <w:kern w:val="0"/>
          <w:szCs w:val="21"/>
        </w:rPr>
        <w:br/>
        <w:t>    （四）审核部门清理事项。逐项审查中介服务事项项目名称、设置依据及相应的实施机构资质条件、依据等。行政机关能够通过征求相关部门意见、加强事中事后监管解决以及行政相对人可按要求自行完成的事项，不得作为由行政相对人委托开展的中介服务。现有或已取消的行政权力事项，不得转为中介服务。实行政府定价或作为行政事业性收费管理的项目，</w:t>
      </w:r>
      <w:r w:rsidRPr="00E85AB9">
        <w:rPr>
          <w:rFonts w:ascii="微软雅黑" w:eastAsia="微软雅黑" w:hAnsi="微软雅黑" w:cs="宋体" w:hint="eastAsia"/>
          <w:color w:val="333333"/>
          <w:kern w:val="0"/>
          <w:szCs w:val="21"/>
        </w:rPr>
        <w:lastRenderedPageBreak/>
        <w:t>同时明确收费依据和收费标准。</w:t>
      </w:r>
      <w:r w:rsidRPr="00E85AB9">
        <w:rPr>
          <w:rFonts w:ascii="微软雅黑" w:eastAsia="微软雅黑" w:hAnsi="微软雅黑" w:cs="宋体" w:hint="eastAsia"/>
          <w:color w:val="333333"/>
          <w:kern w:val="0"/>
          <w:szCs w:val="21"/>
        </w:rPr>
        <w:br/>
        <w:t>    四、实施步骤</w:t>
      </w:r>
      <w:r w:rsidRPr="00E85AB9">
        <w:rPr>
          <w:rFonts w:ascii="微软雅黑" w:eastAsia="微软雅黑" w:hAnsi="微软雅黑" w:cs="宋体" w:hint="eastAsia"/>
          <w:color w:val="333333"/>
          <w:kern w:val="0"/>
          <w:szCs w:val="21"/>
        </w:rPr>
        <w:br/>
        <w:t>    （一）动员部署阶段（2017年4 月底前）。制定清理规范工作方案，从市直相关单位、县区抽调工作人员，组建中介服务项目审核组，召开动员会议，开展相关培训。</w:t>
      </w:r>
      <w:r w:rsidRPr="00E85AB9">
        <w:rPr>
          <w:rFonts w:ascii="微软雅黑" w:eastAsia="微软雅黑" w:hAnsi="微软雅黑" w:cs="宋体" w:hint="eastAsia"/>
          <w:color w:val="333333"/>
          <w:kern w:val="0"/>
          <w:szCs w:val="21"/>
        </w:rPr>
        <w:br/>
        <w:t>    （二）自查自清阶段（2017年5月底前）。市直各单位对本部门所涉及中介服务事项进行全面梳理，将由单位主要负责人签字并加盖单位印章的自查报告（包括中介服务事项梳理清理、所属单位开展本部门相关中介服务情况，存在问题、措施办法和意见建议等）和有关表格连同电子版一并报送市编办。</w:t>
      </w:r>
      <w:r w:rsidRPr="00E85AB9">
        <w:rPr>
          <w:rFonts w:ascii="微软雅黑" w:eastAsia="微软雅黑" w:hAnsi="微软雅黑" w:cs="宋体" w:hint="eastAsia"/>
          <w:color w:val="333333"/>
          <w:kern w:val="0"/>
          <w:szCs w:val="21"/>
        </w:rPr>
        <w:br/>
        <w:t>    （三）集中审核阶段（2017年6月底前）。按照“三上三下”的办法，中介服务项目审核组对部门梳理的中介事项及清理规范意见进行集中审核，提出审核意见建议，反馈各单位征求意见后，完成初步审核任务。</w:t>
      </w:r>
      <w:r w:rsidRPr="00E85AB9">
        <w:rPr>
          <w:rFonts w:ascii="微软雅黑" w:eastAsia="微软雅黑" w:hAnsi="微软雅黑" w:cs="宋体" w:hint="eastAsia"/>
          <w:color w:val="333333"/>
          <w:kern w:val="0"/>
          <w:szCs w:val="21"/>
        </w:rPr>
        <w:br/>
        <w:t>    （四）审查论证阶段（2017年7月底前）。成立专家组，分行业、分领域对中介服务事项进行专家论证，开展相关审查，通过单位门户网站公示征求意见。</w:t>
      </w:r>
      <w:r w:rsidRPr="00E85AB9">
        <w:rPr>
          <w:rFonts w:ascii="微软雅黑" w:eastAsia="微软雅黑" w:hAnsi="微软雅黑" w:cs="宋体" w:hint="eastAsia"/>
          <w:color w:val="333333"/>
          <w:kern w:val="0"/>
          <w:szCs w:val="21"/>
        </w:rPr>
        <w:br/>
        <w:t>    （五）公布运行阶段（2017年8月）。经审查论证后的市级政府中介服务清单，按程序报市政府审定后，向社会公布，接受社会监督。</w:t>
      </w:r>
      <w:r w:rsidRPr="00E85AB9">
        <w:rPr>
          <w:rFonts w:ascii="微软雅黑" w:eastAsia="微软雅黑" w:hAnsi="微软雅黑" w:cs="宋体" w:hint="eastAsia"/>
          <w:color w:val="333333"/>
          <w:kern w:val="0"/>
          <w:szCs w:val="21"/>
        </w:rPr>
        <w:br/>
        <w:t>    五、工作要求</w:t>
      </w:r>
      <w:r w:rsidRPr="00E85AB9">
        <w:rPr>
          <w:rFonts w:ascii="微软雅黑" w:eastAsia="微软雅黑" w:hAnsi="微软雅黑" w:cs="宋体" w:hint="eastAsia"/>
          <w:color w:val="333333"/>
          <w:kern w:val="0"/>
          <w:szCs w:val="21"/>
        </w:rPr>
        <w:br/>
        <w:t>    市直有关单位是中介服务事项清理规范工作的责任主体，要加强组织领导，建立工作机制，扎实开展自查自清，全面梳理本单位行政权力涉及的中介服务事项，逐条逐项进行填报，不得瞒报、漏报，做到事项内容准确、设置依据充分、清理意见明确。要坚持问题导向、责任导向，有力有序推进清理规范工作，并将清理规范工作与权责清单制度建设、行政审批制度改革、分类推进事业单位改革、推进行业协会商会与行政机关脱钩、社会信用体系建设等工作结合起来，统筹安排，认真实施。</w:t>
      </w:r>
    </w:p>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lastRenderedPageBreak/>
        <w:t>    附件：1．市级中介服务事项清理规范单位名单</w:t>
      </w:r>
      <w:r w:rsidRPr="00E85AB9">
        <w:rPr>
          <w:rFonts w:ascii="微软雅黑" w:eastAsia="微软雅黑" w:hAnsi="微软雅黑" w:cs="宋体" w:hint="eastAsia"/>
          <w:color w:val="333333"/>
          <w:kern w:val="0"/>
          <w:szCs w:val="21"/>
        </w:rPr>
        <w:br/>
        <w:t>          2．市级中介服务事项清理规范表</w:t>
      </w:r>
      <w:r w:rsidRPr="00E85AB9">
        <w:rPr>
          <w:rFonts w:ascii="微软雅黑" w:eastAsia="微软雅黑" w:hAnsi="微软雅黑" w:cs="宋体" w:hint="eastAsia"/>
          <w:color w:val="333333"/>
          <w:kern w:val="0"/>
          <w:szCs w:val="21"/>
        </w:rPr>
        <w:br/>
        <w:t>          3．部门所属机构承担由行政相对人委托中介服务事项情况表</w:t>
      </w:r>
    </w:p>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 </w:t>
      </w:r>
    </w:p>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附件1</w:t>
      </w:r>
    </w:p>
    <w:p w:rsidR="00E85AB9" w:rsidRPr="00E85AB9" w:rsidRDefault="00E85AB9" w:rsidP="00E85AB9">
      <w:pPr>
        <w:widowControl/>
        <w:shd w:val="clear" w:color="auto" w:fill="FFFFFF"/>
        <w:jc w:val="center"/>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市级中介服务事项清理规范单位名单</w:t>
      </w:r>
    </w:p>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    市政府办（研究室、外事&lt;侨务&gt;办）、市发改委（市物价局、市绿指办）、市教育局、市科技局（市知识产权局）、市经信委（市中小企业发展局）、市民委（市宗教局）、市公安局、市民政局、市司法局、市财政局（市国资委）、市人社局、市国土局（市不动产登记局）、市环保局、市住建委、市交通局、市农委、市水利局、市林业局、市商务局、市文广新局（市体育局、市版权局）、市卫计委、市审计局、市统计局、市工商质监局、市药监局（市食安办）、市安监局、市旅游委、市粮食局、市法制办、市规划局、市城管局、市人防办（市民防局）、市金融办、市档案局、市供销社、市地震局、市残联、市方志办、市公共资源交易监管局（市公共资源交易中心）、市公积金中心、市信访局、市保密局、市地税局、市烟草专卖局、市气象局、市盐务管理局、市公安消防支队。</w:t>
      </w:r>
    </w:p>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附件2</w:t>
      </w:r>
    </w:p>
    <w:p w:rsidR="00E85AB9" w:rsidRPr="00E85AB9" w:rsidRDefault="00E85AB9" w:rsidP="00E85AB9">
      <w:pPr>
        <w:widowControl/>
        <w:shd w:val="clear" w:color="auto" w:fill="FFFFFF"/>
        <w:jc w:val="center"/>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市级中介服务事项清理规范表</w:t>
      </w:r>
    </w:p>
    <w:tbl>
      <w:tblPr>
        <w:tblW w:w="0" w:type="auto"/>
        <w:tblBorders>
          <w:top w:val="outset" w:sz="6" w:space="0" w:color="333333"/>
          <w:left w:val="outset" w:sz="6" w:space="0" w:color="333333"/>
          <w:bottom w:val="outset" w:sz="6" w:space="0" w:color="333333"/>
          <w:right w:val="outset"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516"/>
        <w:gridCol w:w="641"/>
        <w:gridCol w:w="536"/>
        <w:gridCol w:w="666"/>
        <w:gridCol w:w="475"/>
        <w:gridCol w:w="460"/>
        <w:gridCol w:w="475"/>
        <w:gridCol w:w="526"/>
        <w:gridCol w:w="526"/>
        <w:gridCol w:w="511"/>
        <w:gridCol w:w="496"/>
        <w:gridCol w:w="851"/>
        <w:gridCol w:w="486"/>
        <w:gridCol w:w="626"/>
        <w:gridCol w:w="665"/>
      </w:tblGrid>
      <w:tr w:rsidR="00E85AB9" w:rsidRPr="00E85AB9" w:rsidTr="00E85AB9">
        <w:trPr>
          <w:trHeight w:val="330"/>
        </w:trPr>
        <w:tc>
          <w:tcPr>
            <w:tcW w:w="825"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序号</w:t>
            </w:r>
          </w:p>
        </w:tc>
        <w:tc>
          <w:tcPr>
            <w:tcW w:w="1200"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中介服务事项名称</w:t>
            </w:r>
          </w:p>
        </w:tc>
        <w:tc>
          <w:tcPr>
            <w:tcW w:w="885"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中介服务事</w:t>
            </w:r>
            <w:r w:rsidRPr="00E85AB9">
              <w:rPr>
                <w:rFonts w:ascii="微软雅黑" w:eastAsia="微软雅黑" w:hAnsi="微软雅黑" w:cs="宋体" w:hint="eastAsia"/>
                <w:color w:val="333333"/>
                <w:kern w:val="0"/>
                <w:szCs w:val="21"/>
              </w:rPr>
              <w:lastRenderedPageBreak/>
              <w:t>项设定依据</w:t>
            </w:r>
          </w:p>
        </w:tc>
        <w:tc>
          <w:tcPr>
            <w:tcW w:w="1275"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对应行政权力名称及项</w:t>
            </w:r>
            <w:r w:rsidRPr="00E85AB9">
              <w:rPr>
                <w:rFonts w:ascii="微软雅黑" w:eastAsia="微软雅黑" w:hAnsi="微软雅黑" w:cs="宋体" w:hint="eastAsia"/>
                <w:color w:val="333333"/>
                <w:kern w:val="0"/>
                <w:szCs w:val="21"/>
              </w:rPr>
              <w:lastRenderedPageBreak/>
              <w:t>目编码</w:t>
            </w:r>
          </w:p>
        </w:tc>
        <w:tc>
          <w:tcPr>
            <w:tcW w:w="705"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所处环节</w:t>
            </w:r>
          </w:p>
        </w:tc>
        <w:tc>
          <w:tcPr>
            <w:tcW w:w="4650" w:type="dxa"/>
            <w:gridSpan w:val="6"/>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中介服务实施机构</w:t>
            </w:r>
          </w:p>
        </w:tc>
        <w:tc>
          <w:tcPr>
            <w:tcW w:w="1410"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中介服务事项是否收费、收费类</w:t>
            </w:r>
            <w:r w:rsidRPr="00E85AB9">
              <w:rPr>
                <w:rFonts w:ascii="微软雅黑" w:eastAsia="微软雅黑" w:hAnsi="微软雅黑" w:cs="宋体" w:hint="eastAsia"/>
                <w:color w:val="333333"/>
                <w:kern w:val="0"/>
                <w:szCs w:val="21"/>
              </w:rPr>
              <w:lastRenderedPageBreak/>
              <w:t>型、标准及依据</w:t>
            </w:r>
          </w:p>
        </w:tc>
        <w:tc>
          <w:tcPr>
            <w:tcW w:w="735"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委托</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主体</w:t>
            </w:r>
          </w:p>
        </w:tc>
        <w:tc>
          <w:tcPr>
            <w:tcW w:w="1155"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处理意见</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及理由</w:t>
            </w:r>
          </w:p>
        </w:tc>
        <w:tc>
          <w:tcPr>
            <w:tcW w:w="855"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备注（是否涉密等）</w:t>
            </w:r>
          </w:p>
        </w:tc>
      </w:tr>
      <w:tr w:rsidR="00E85AB9" w:rsidRPr="00E85AB9" w:rsidTr="00E85AB9">
        <w:trPr>
          <w:trHeight w:val="330"/>
        </w:trPr>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66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资质</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条</w:t>
            </w:r>
            <w:r w:rsidRPr="00E85AB9">
              <w:rPr>
                <w:rFonts w:ascii="微软雅黑" w:eastAsia="微软雅黑" w:hAnsi="微软雅黑" w:cs="宋体" w:hint="eastAsia"/>
                <w:color w:val="333333"/>
                <w:kern w:val="0"/>
                <w:szCs w:val="21"/>
              </w:rPr>
              <w:lastRenderedPageBreak/>
              <w:t>件</w:t>
            </w:r>
          </w:p>
        </w:tc>
        <w:tc>
          <w:tcPr>
            <w:tcW w:w="70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资质</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依</w:t>
            </w:r>
            <w:r w:rsidRPr="00E85AB9">
              <w:rPr>
                <w:rFonts w:ascii="微软雅黑" w:eastAsia="微软雅黑" w:hAnsi="微软雅黑" w:cs="宋体" w:hint="eastAsia"/>
                <w:color w:val="333333"/>
                <w:kern w:val="0"/>
                <w:szCs w:val="21"/>
              </w:rPr>
              <w:lastRenderedPageBreak/>
              <w:t>据</w:t>
            </w:r>
          </w:p>
        </w:tc>
        <w:tc>
          <w:tcPr>
            <w:tcW w:w="8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主管</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部</w:t>
            </w:r>
            <w:r w:rsidRPr="00E85AB9">
              <w:rPr>
                <w:rFonts w:ascii="微软雅黑" w:eastAsia="微软雅黑" w:hAnsi="微软雅黑" w:cs="宋体" w:hint="eastAsia"/>
                <w:color w:val="333333"/>
                <w:kern w:val="0"/>
                <w:szCs w:val="21"/>
              </w:rPr>
              <w:lastRenderedPageBreak/>
              <w:t>门</w:t>
            </w:r>
          </w:p>
        </w:tc>
        <w:tc>
          <w:tcPr>
            <w:tcW w:w="8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机构</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名</w:t>
            </w:r>
            <w:r w:rsidRPr="00E85AB9">
              <w:rPr>
                <w:rFonts w:ascii="微软雅黑" w:eastAsia="微软雅黑" w:hAnsi="微软雅黑" w:cs="宋体" w:hint="eastAsia"/>
                <w:color w:val="333333"/>
                <w:kern w:val="0"/>
                <w:szCs w:val="21"/>
              </w:rPr>
              <w:lastRenderedPageBreak/>
              <w:t>称</w:t>
            </w:r>
          </w:p>
        </w:tc>
        <w:tc>
          <w:tcPr>
            <w:tcW w:w="8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机构</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性</w:t>
            </w:r>
            <w:r w:rsidRPr="00E85AB9">
              <w:rPr>
                <w:rFonts w:ascii="微软雅黑" w:eastAsia="微软雅黑" w:hAnsi="微软雅黑" w:cs="宋体" w:hint="eastAsia"/>
                <w:color w:val="333333"/>
                <w:kern w:val="0"/>
                <w:szCs w:val="21"/>
              </w:rPr>
              <w:lastRenderedPageBreak/>
              <w:t>质</w:t>
            </w:r>
          </w:p>
        </w:tc>
        <w:tc>
          <w:tcPr>
            <w:tcW w:w="75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机构</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数</w:t>
            </w:r>
            <w:r w:rsidRPr="00E85AB9">
              <w:rPr>
                <w:rFonts w:ascii="微软雅黑" w:eastAsia="微软雅黑" w:hAnsi="微软雅黑" w:cs="宋体" w:hint="eastAsia"/>
                <w:color w:val="333333"/>
                <w:kern w:val="0"/>
                <w:szCs w:val="21"/>
              </w:rPr>
              <w:lastRenderedPageBreak/>
              <w:t>量</w:t>
            </w: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r>
      <w:tr w:rsidR="00E85AB9" w:rsidRPr="00E85AB9" w:rsidTr="00E85AB9">
        <w:trPr>
          <w:trHeight w:val="330"/>
        </w:trPr>
        <w:tc>
          <w:tcPr>
            <w:tcW w:w="82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lastRenderedPageBreak/>
              <w:t> </w:t>
            </w:r>
          </w:p>
        </w:tc>
        <w:tc>
          <w:tcPr>
            <w:tcW w:w="120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8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70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66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70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75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7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1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82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20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8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70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66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70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75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7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1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bl>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    注：1. 中介服务事项应填写规范全称，与设定依据中的正式表述一致。2.中介服务事项设定依据，包括直接设定行政权力中介服务事项的相关法律、法规的名称和具体条文，没有依据的简要说明情况。3.对应行政权力名称及项目编码应按照权责清单中公布的内容填写。4.所处环节，是指中介服务发生在行政权力行使的具体阶段，如行政审批、行政确认是受理前或受理后等。5.中介服务实施机构资质条件，是指行政机关认可中介服务机构的资质资格条件，如具有***工程勘察甲级资质的单位等。6. 中介服务实施机构资质依据，包括直接明确提供中介服务机构的资质条件的相关法律、法规的名称和具体条文。7. 中介服务实施机构主管部门，是指中介服务机构的登记、审批、监管部门等。8.中介服务实施机构名称，如XX中心（事业单位）、XX公司（企业）、XX协会（社会组织）等；机构较多的，可每类填写1-2个机构，并列明具体数量。不掌握具体数量的，可填写大致情况。9.中介服务收费类型，可按政府定价、政府指导价、行政事业性收费或市场自主调节价格等类型填写。10.委托主体，按照由行政相对人委托或行政机关委托两种方式填写。11.处理意见及理由，可按保留、取消、转换、规范四种意见填写并说明主要理由。</w:t>
      </w:r>
    </w:p>
    <w:p w:rsidR="00E85AB9" w:rsidRPr="00E85AB9" w:rsidRDefault="00E85AB9" w:rsidP="00E85AB9">
      <w:pPr>
        <w:widowControl/>
        <w:shd w:val="clear" w:color="auto" w:fill="FFFFFF"/>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附件3</w:t>
      </w:r>
    </w:p>
    <w:p w:rsidR="00E85AB9" w:rsidRPr="00E85AB9" w:rsidRDefault="00E85AB9" w:rsidP="00E85AB9">
      <w:pPr>
        <w:widowControl/>
        <w:shd w:val="clear" w:color="auto" w:fill="FFFFFF"/>
        <w:jc w:val="center"/>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lastRenderedPageBreak/>
        <w:t>部门所属机构承担由行政相对人委托中介服务事项情况表</w:t>
      </w:r>
    </w:p>
    <w:tbl>
      <w:tblPr>
        <w:tblW w:w="0" w:type="auto"/>
        <w:tblBorders>
          <w:top w:val="outset" w:sz="6" w:space="0" w:color="333333"/>
          <w:left w:val="outset" w:sz="6" w:space="0" w:color="333333"/>
          <w:bottom w:val="outset" w:sz="6" w:space="0" w:color="333333"/>
          <w:right w:val="outset"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525"/>
        <w:gridCol w:w="622"/>
        <w:gridCol w:w="567"/>
        <w:gridCol w:w="863"/>
        <w:gridCol w:w="931"/>
        <w:gridCol w:w="594"/>
        <w:gridCol w:w="615"/>
        <w:gridCol w:w="1093"/>
        <w:gridCol w:w="876"/>
        <w:gridCol w:w="766"/>
        <w:gridCol w:w="1004"/>
      </w:tblGrid>
      <w:tr w:rsidR="00E85AB9" w:rsidRPr="00E85AB9" w:rsidTr="00E85AB9">
        <w:trPr>
          <w:trHeight w:val="330"/>
        </w:trPr>
        <w:tc>
          <w:tcPr>
            <w:tcW w:w="720"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序号</w:t>
            </w:r>
          </w:p>
        </w:tc>
        <w:tc>
          <w:tcPr>
            <w:tcW w:w="930"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机构</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名称</w:t>
            </w:r>
          </w:p>
        </w:tc>
        <w:tc>
          <w:tcPr>
            <w:tcW w:w="810"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机构</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性质</w:t>
            </w:r>
          </w:p>
        </w:tc>
        <w:tc>
          <w:tcPr>
            <w:tcW w:w="8025" w:type="dxa"/>
            <w:gridSpan w:val="6"/>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承担与本部门行政权力相关中介服务事项</w:t>
            </w:r>
          </w:p>
        </w:tc>
        <w:tc>
          <w:tcPr>
            <w:tcW w:w="1245"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处理意见</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及理由</w:t>
            </w:r>
          </w:p>
        </w:tc>
        <w:tc>
          <w:tcPr>
            <w:tcW w:w="1515" w:type="dxa"/>
            <w:vMerge w:val="restart"/>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备注</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（是否涉密等）</w:t>
            </w:r>
          </w:p>
        </w:tc>
      </w:tr>
      <w:tr w:rsidR="00E85AB9" w:rsidRPr="00E85AB9" w:rsidTr="00E85AB9">
        <w:trPr>
          <w:trHeight w:val="330"/>
        </w:trPr>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14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中介服务</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事项名称</w:t>
            </w:r>
          </w:p>
        </w:tc>
        <w:tc>
          <w:tcPr>
            <w:tcW w:w="160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对应行政权</w:t>
            </w:r>
          </w:p>
          <w:p w:rsidR="00E85AB9" w:rsidRPr="00E85AB9" w:rsidRDefault="00E85AB9" w:rsidP="00E85AB9">
            <w:pPr>
              <w:widowControl/>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力名称及</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项目编码</w:t>
            </w:r>
          </w:p>
        </w:tc>
        <w:tc>
          <w:tcPr>
            <w:tcW w:w="8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所处</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环节</w:t>
            </w:r>
          </w:p>
        </w:tc>
        <w:tc>
          <w:tcPr>
            <w:tcW w:w="9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办理</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时限</w:t>
            </w:r>
          </w:p>
        </w:tc>
        <w:tc>
          <w:tcPr>
            <w:tcW w:w="17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是否收费、收费类型、标准及依据</w:t>
            </w:r>
          </w:p>
        </w:tc>
        <w:tc>
          <w:tcPr>
            <w:tcW w:w="148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上一年度</w:t>
            </w:r>
          </w:p>
          <w:p w:rsidR="00E85AB9" w:rsidRPr="00E85AB9" w:rsidRDefault="00E85AB9" w:rsidP="00E85AB9">
            <w:pPr>
              <w:widowControl/>
              <w:jc w:val="left"/>
              <w:rPr>
                <w:rFonts w:ascii="微软雅黑" w:eastAsia="微软雅黑" w:hAnsi="微软雅黑" w:cs="宋体" w:hint="eastAsia"/>
                <w:color w:val="333333"/>
                <w:kern w:val="0"/>
                <w:szCs w:val="21"/>
              </w:rPr>
            </w:pPr>
            <w:r w:rsidRPr="00E85AB9">
              <w:rPr>
                <w:rFonts w:ascii="微软雅黑" w:eastAsia="微软雅黑" w:hAnsi="微软雅黑" w:cs="宋体" w:hint="eastAsia"/>
                <w:color w:val="333333"/>
                <w:kern w:val="0"/>
                <w:szCs w:val="21"/>
              </w:rPr>
              <w:t>提供服务</w:t>
            </w:r>
          </w:p>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的数量</w:t>
            </w: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c>
          <w:tcPr>
            <w:tcW w:w="0" w:type="auto"/>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E85AB9" w:rsidRPr="00E85AB9" w:rsidRDefault="00E85AB9" w:rsidP="00E85AB9">
            <w:pPr>
              <w:widowControl/>
              <w:jc w:val="left"/>
              <w:rPr>
                <w:rFonts w:ascii="微软雅黑" w:eastAsia="微软雅黑" w:hAnsi="微软雅黑" w:cs="宋体"/>
                <w:color w:val="333333"/>
                <w:kern w:val="0"/>
                <w:szCs w:val="21"/>
              </w:rPr>
            </w:pPr>
          </w:p>
        </w:tc>
      </w:tr>
      <w:tr w:rsidR="00E85AB9" w:rsidRPr="00E85AB9" w:rsidTr="00E85AB9">
        <w:trPr>
          <w:trHeight w:val="330"/>
        </w:trPr>
        <w:tc>
          <w:tcPr>
            <w:tcW w:w="72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93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60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9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7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8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2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72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93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60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9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7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8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2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72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93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60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9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7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8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2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72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93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60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9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7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8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2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72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93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60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9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7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8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2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r w:rsidR="00E85AB9" w:rsidRPr="00E85AB9" w:rsidTr="00E85AB9">
        <w:trPr>
          <w:trHeight w:val="330"/>
        </w:trPr>
        <w:tc>
          <w:tcPr>
            <w:tcW w:w="72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93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5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60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8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9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710"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48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2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c>
          <w:tcPr>
            <w:tcW w:w="15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75" w:type="dxa"/>
              <w:bottom w:w="75" w:type="dxa"/>
              <w:right w:w="75" w:type="dxa"/>
            </w:tcMar>
            <w:vAlign w:val="center"/>
            <w:hideMark/>
          </w:tcPr>
          <w:p w:rsidR="00E85AB9" w:rsidRPr="00E85AB9" w:rsidRDefault="00E85AB9" w:rsidP="00E85AB9">
            <w:pPr>
              <w:widowControl/>
              <w:jc w:val="left"/>
              <w:rPr>
                <w:rFonts w:ascii="微软雅黑" w:eastAsia="微软雅黑" w:hAnsi="微软雅黑" w:cs="宋体"/>
                <w:color w:val="333333"/>
                <w:kern w:val="0"/>
                <w:szCs w:val="21"/>
              </w:rPr>
            </w:pPr>
            <w:r w:rsidRPr="00E85AB9">
              <w:rPr>
                <w:rFonts w:ascii="微软雅黑" w:eastAsia="微软雅黑" w:hAnsi="微软雅黑" w:cs="宋体" w:hint="eastAsia"/>
                <w:color w:val="333333"/>
                <w:kern w:val="0"/>
                <w:szCs w:val="21"/>
              </w:rPr>
              <w:t> </w:t>
            </w:r>
          </w:p>
        </w:tc>
      </w:tr>
    </w:tbl>
    <w:p w:rsidR="00CA482D" w:rsidRDefault="00CA482D"/>
    <w:sectPr w:rsidR="00CA4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F9B"/>
    <w:rsid w:val="005D5F9B"/>
    <w:rsid w:val="00CA482D"/>
    <w:rsid w:val="00E8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5AB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5A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4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LTM</dc:creator>
  <cp:keywords/>
  <dc:description/>
  <cp:lastModifiedBy>LTM</cp:lastModifiedBy>
  <cp:revision>2</cp:revision>
  <dcterms:created xsi:type="dcterms:W3CDTF">2018-07-03T06:12:00Z</dcterms:created>
  <dcterms:modified xsi:type="dcterms:W3CDTF">2018-07-03T06:13:00Z</dcterms:modified>
</cp:coreProperties>
</file>